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E4762" w14:textId="6F853964" w:rsidR="00437F06" w:rsidRDefault="00437F06" w:rsidP="00013F8C">
      <w:pPr>
        <w:pStyle w:val="Titolo"/>
      </w:pPr>
      <w:r w:rsidRPr="009C3E75">
        <w:rPr>
          <w:noProof/>
        </w:rPr>
        <w:drawing>
          <wp:inline distT="0" distB="0" distL="0" distR="0" wp14:anchorId="64F79368" wp14:editId="7E204221">
            <wp:extent cx="5731510" cy="757555"/>
            <wp:effectExtent l="0" t="0" r="0" b="4445"/>
            <wp:docPr id="1" name="Immagine 1" descr="Università di Verona&#10;Il sapere a 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Università di Verona&#10;Il sapere a color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3D486" w14:textId="77777777" w:rsidR="00437F06" w:rsidRDefault="00437F06" w:rsidP="00013F8C">
      <w:pPr>
        <w:pStyle w:val="Titolo"/>
      </w:pPr>
    </w:p>
    <w:p w14:paraId="4388EA5D" w14:textId="2CECD5AC" w:rsidR="007F6776" w:rsidRDefault="007F6776" w:rsidP="00013F8C">
      <w:pPr>
        <w:pStyle w:val="Titolo"/>
      </w:pPr>
      <w:r>
        <w:t xml:space="preserve">OPPORTUNITÀ E AGEVOLAZIONI </w:t>
      </w:r>
    </w:p>
    <w:p w14:paraId="7693CFF8" w14:textId="77777777" w:rsidR="007F6776" w:rsidRDefault="007F6776" w:rsidP="00013F8C">
      <w:pPr>
        <w:pStyle w:val="Titolo"/>
      </w:pPr>
      <w:r>
        <w:t xml:space="preserve">PER LA COLLABORAZIONE </w:t>
      </w:r>
    </w:p>
    <w:p w14:paraId="324F617D" w14:textId="094913FB" w:rsidR="007F6776" w:rsidRDefault="007F6776" w:rsidP="00013F8C">
      <w:pPr>
        <w:pStyle w:val="Titolo"/>
      </w:pPr>
      <w:r>
        <w:t>UNIVERSITÀ &amp; IMPRESA</w:t>
      </w:r>
    </w:p>
    <w:p w14:paraId="05A0A3E5" w14:textId="6D6D34D9" w:rsidR="00770E8D" w:rsidRDefault="007F6776" w:rsidP="007F6776">
      <w:pPr>
        <w:pStyle w:val="Titolo1"/>
      </w:pPr>
      <w:r>
        <w:lastRenderedPageBreak/>
        <w:t>INDICE</w:t>
      </w:r>
    </w:p>
    <w:p w14:paraId="7EBC4362" w14:textId="62D9EA7F" w:rsidR="00770E8D" w:rsidRDefault="007F6776" w:rsidP="007F6776">
      <w:pPr>
        <w:pStyle w:val="Titolo3"/>
        <w:tabs>
          <w:tab w:val="right" w:pos="9026"/>
        </w:tabs>
      </w:pPr>
      <w:r>
        <w:t>INTRODUZIONE</w:t>
      </w:r>
      <w:r>
        <w:tab/>
      </w:r>
      <w:r w:rsidR="00EB2710">
        <w:t>3</w:t>
      </w:r>
    </w:p>
    <w:p w14:paraId="17720122" w14:textId="4885E2C8" w:rsidR="00770E8D" w:rsidRDefault="007F6776" w:rsidP="007F6776">
      <w:pPr>
        <w:pStyle w:val="Titolo3"/>
        <w:tabs>
          <w:tab w:val="right" w:pos="9026"/>
        </w:tabs>
      </w:pPr>
      <w:r>
        <w:t>L’UNIVERSITÀ PER LE IMPRESE</w:t>
      </w:r>
      <w:r>
        <w:tab/>
      </w:r>
      <w:r w:rsidR="00EB2710">
        <w:t>4</w:t>
      </w:r>
    </w:p>
    <w:p w14:paraId="0BA22070" w14:textId="3CA18C7F" w:rsidR="00770E8D" w:rsidRDefault="007F6776" w:rsidP="007F6776">
      <w:pPr>
        <w:pStyle w:val="Titolo3"/>
        <w:tabs>
          <w:tab w:val="right" w:pos="9026"/>
        </w:tabs>
      </w:pPr>
      <w:r>
        <w:t>TRASFERIMENTO CONOSCENZE</w:t>
      </w:r>
      <w:r>
        <w:tab/>
      </w:r>
      <w:r w:rsidR="00EB2710">
        <w:t>5</w:t>
      </w:r>
    </w:p>
    <w:p w14:paraId="65C32D2C" w14:textId="05D5A0AF" w:rsidR="00770E8D" w:rsidRDefault="007F6776" w:rsidP="007F6776">
      <w:pPr>
        <w:pStyle w:val="Titolo3"/>
        <w:tabs>
          <w:tab w:val="right" w:pos="9026"/>
        </w:tabs>
      </w:pPr>
      <w:r>
        <w:t>RICERCA COMMISSIONATA</w:t>
      </w:r>
      <w:r>
        <w:tab/>
      </w:r>
      <w:r w:rsidR="00EB2710">
        <w:t>6</w:t>
      </w:r>
    </w:p>
    <w:p w14:paraId="0BA8CB94" w14:textId="6B5DFBD7" w:rsidR="00770E8D" w:rsidRDefault="007F6776" w:rsidP="007F6776">
      <w:pPr>
        <w:pStyle w:val="Titolo3"/>
        <w:tabs>
          <w:tab w:val="right" w:pos="9026"/>
        </w:tabs>
      </w:pPr>
      <w:r>
        <w:t>RICERCA CONGIUNTA</w:t>
      </w:r>
      <w:r>
        <w:tab/>
      </w:r>
      <w:r w:rsidR="00EB2710">
        <w:t>7</w:t>
      </w:r>
    </w:p>
    <w:p w14:paraId="65969107" w14:textId="233A271B" w:rsidR="00770E8D" w:rsidRDefault="007F6776" w:rsidP="007F6776">
      <w:pPr>
        <w:pStyle w:val="Titolo3"/>
        <w:tabs>
          <w:tab w:val="right" w:pos="9026"/>
        </w:tabs>
      </w:pPr>
      <w:r>
        <w:t>BREVETTI</w:t>
      </w:r>
      <w:r>
        <w:tab/>
      </w:r>
      <w:r w:rsidR="00EB2710">
        <w:t>8</w:t>
      </w:r>
    </w:p>
    <w:p w14:paraId="5C46B672" w14:textId="1FD7C337" w:rsidR="00770E8D" w:rsidRDefault="007F6776" w:rsidP="007F6776">
      <w:pPr>
        <w:pStyle w:val="Titolo3"/>
        <w:tabs>
          <w:tab w:val="right" w:pos="9026"/>
        </w:tabs>
      </w:pPr>
      <w:r>
        <w:t>SPIN OFF E START UP CON STUDENTI E STUDENTESSE</w:t>
      </w:r>
      <w:r>
        <w:tab/>
      </w:r>
      <w:r w:rsidR="00EB2710">
        <w:t>9</w:t>
      </w:r>
    </w:p>
    <w:p w14:paraId="1FD22BC0" w14:textId="49477A64" w:rsidR="00770E8D" w:rsidRDefault="007F6776" w:rsidP="007F6776">
      <w:pPr>
        <w:pStyle w:val="Titolo3"/>
        <w:tabs>
          <w:tab w:val="right" w:pos="9026"/>
        </w:tabs>
      </w:pPr>
      <w:r>
        <w:t>ASSEGNI DI RICERCA</w:t>
      </w:r>
      <w:r>
        <w:tab/>
      </w:r>
      <w:r w:rsidR="00EB2710">
        <w:t>10</w:t>
      </w:r>
    </w:p>
    <w:p w14:paraId="5CE533A6" w14:textId="6847A0C2" w:rsidR="00770E8D" w:rsidRDefault="007F6776" w:rsidP="007F6776">
      <w:pPr>
        <w:pStyle w:val="Titolo3"/>
        <w:tabs>
          <w:tab w:val="right" w:pos="9026"/>
        </w:tabs>
      </w:pPr>
      <w:r>
        <w:t>BORSE DI RICERCA</w:t>
      </w:r>
      <w:r>
        <w:tab/>
        <w:t>1</w:t>
      </w:r>
      <w:r w:rsidR="00EB2710">
        <w:t>1</w:t>
      </w:r>
    </w:p>
    <w:p w14:paraId="5FFB4B68" w14:textId="586F9AC8" w:rsidR="00770E8D" w:rsidRDefault="007F6776" w:rsidP="007F6776">
      <w:pPr>
        <w:pStyle w:val="Titolo3"/>
        <w:tabs>
          <w:tab w:val="right" w:pos="9026"/>
        </w:tabs>
      </w:pPr>
      <w:r>
        <w:t>DOTTORATI DI RICERCA</w:t>
      </w:r>
      <w:r>
        <w:tab/>
        <w:t>1</w:t>
      </w:r>
      <w:r w:rsidR="00EB2710">
        <w:t>2</w:t>
      </w:r>
    </w:p>
    <w:p w14:paraId="4688C865" w14:textId="0E6E5659" w:rsidR="00770E8D" w:rsidRDefault="007F6776" w:rsidP="007F6776">
      <w:pPr>
        <w:pStyle w:val="Titolo3"/>
        <w:tabs>
          <w:tab w:val="right" w:pos="9026"/>
        </w:tabs>
      </w:pPr>
      <w:r>
        <w:t>DOTTORATI INNOVATIVI</w:t>
      </w:r>
      <w:r>
        <w:tab/>
        <w:t>1</w:t>
      </w:r>
      <w:r w:rsidR="00EB2710">
        <w:t>3</w:t>
      </w:r>
    </w:p>
    <w:p w14:paraId="087CAEF3" w14:textId="45899CB3" w:rsidR="00770E8D" w:rsidRDefault="007F6776" w:rsidP="007F6776">
      <w:pPr>
        <w:pStyle w:val="Titolo3"/>
        <w:tabs>
          <w:tab w:val="right" w:pos="9026"/>
        </w:tabs>
      </w:pPr>
      <w:r>
        <w:t>TIROCINI CURRICULARI</w:t>
      </w:r>
      <w:r>
        <w:tab/>
        <w:t>1</w:t>
      </w:r>
      <w:r w:rsidR="00EB2710">
        <w:t>4</w:t>
      </w:r>
    </w:p>
    <w:p w14:paraId="3250551A" w14:textId="6F90E2C0" w:rsidR="00770E8D" w:rsidRDefault="007F6776" w:rsidP="007F6776">
      <w:pPr>
        <w:pStyle w:val="Titolo3"/>
        <w:tabs>
          <w:tab w:val="right" w:pos="9026"/>
        </w:tabs>
      </w:pPr>
      <w:r>
        <w:t>TIROCINI EXTRACURRICULARI</w:t>
      </w:r>
      <w:r>
        <w:tab/>
        <w:t>1</w:t>
      </w:r>
      <w:r w:rsidR="00EB2710">
        <w:t>5</w:t>
      </w:r>
    </w:p>
    <w:p w14:paraId="4EDDA275" w14:textId="59FDE7F9" w:rsidR="00770E8D" w:rsidRDefault="007F6776" w:rsidP="007F6776">
      <w:pPr>
        <w:pStyle w:val="Titolo3"/>
        <w:tabs>
          <w:tab w:val="right" w:pos="9026"/>
        </w:tabs>
      </w:pPr>
      <w:r>
        <w:t>PUBBLICAZIONE ANNUNCI DI LAVORO</w:t>
      </w:r>
      <w:r>
        <w:tab/>
        <w:t>1</w:t>
      </w:r>
      <w:r w:rsidR="00EB2710">
        <w:t>6</w:t>
      </w:r>
    </w:p>
    <w:p w14:paraId="27AE3E71" w14:textId="65476133" w:rsidR="00770E8D" w:rsidRDefault="007F6776" w:rsidP="007F6776">
      <w:pPr>
        <w:pStyle w:val="Titolo3"/>
        <w:tabs>
          <w:tab w:val="right" w:pos="9026"/>
        </w:tabs>
      </w:pPr>
      <w:r>
        <w:t>RECRUITING DAY VERONA</w:t>
      </w:r>
      <w:r>
        <w:tab/>
        <w:t>1</w:t>
      </w:r>
      <w:r w:rsidR="00EB2710">
        <w:t>7</w:t>
      </w:r>
    </w:p>
    <w:p w14:paraId="629E4A05" w14:textId="15ABF702" w:rsidR="00770E8D" w:rsidRDefault="007F6776" w:rsidP="007F6776">
      <w:pPr>
        <w:pStyle w:val="Titolo3"/>
        <w:tabs>
          <w:tab w:val="right" w:pos="9026"/>
        </w:tabs>
      </w:pPr>
      <w:r>
        <w:t>CORSI DI FORMAZIONE CONTINUA</w:t>
      </w:r>
      <w:r>
        <w:tab/>
        <w:t>1</w:t>
      </w:r>
      <w:r w:rsidR="00EB2710">
        <w:t>8</w:t>
      </w:r>
    </w:p>
    <w:p w14:paraId="6D8A7AE7" w14:textId="22696652" w:rsidR="00770E8D" w:rsidRDefault="007F6776" w:rsidP="007F6776">
      <w:pPr>
        <w:pStyle w:val="Titolo3"/>
        <w:tabs>
          <w:tab w:val="right" w:pos="9026"/>
        </w:tabs>
      </w:pPr>
      <w:r>
        <w:t>CORSI DI PERFEZIONAMENTO E AGGIORNAMENTO PROFESSIONALE</w:t>
      </w:r>
      <w:r>
        <w:tab/>
        <w:t>1</w:t>
      </w:r>
      <w:r w:rsidR="00EB2710">
        <w:t>9</w:t>
      </w:r>
    </w:p>
    <w:p w14:paraId="7499EEFE" w14:textId="23C99689" w:rsidR="00770E8D" w:rsidRDefault="007F6776" w:rsidP="007F6776">
      <w:pPr>
        <w:pStyle w:val="Titolo3"/>
        <w:tabs>
          <w:tab w:val="right" w:pos="9026"/>
        </w:tabs>
      </w:pPr>
      <w:r>
        <w:t>MASTER</w:t>
      </w:r>
      <w:r>
        <w:tab/>
      </w:r>
      <w:r w:rsidR="00EB2710">
        <w:t>20</w:t>
      </w:r>
    </w:p>
    <w:p w14:paraId="507288DF" w14:textId="3E119EFD" w:rsidR="00770E8D" w:rsidRDefault="007F6776" w:rsidP="007F6776">
      <w:pPr>
        <w:pStyle w:val="Titolo3"/>
        <w:tabs>
          <w:tab w:val="right" w:pos="9026"/>
        </w:tabs>
      </w:pPr>
      <w:r>
        <w:t>BORSE DI STUDIO E PREMI DI LAUREA</w:t>
      </w:r>
      <w:r>
        <w:tab/>
        <w:t>2</w:t>
      </w:r>
      <w:r w:rsidR="00EB2710">
        <w:t>1</w:t>
      </w:r>
    </w:p>
    <w:p w14:paraId="54F9C3ED" w14:textId="229A985C" w:rsidR="00770E8D" w:rsidRDefault="007F6776" w:rsidP="007F6776">
      <w:pPr>
        <w:pStyle w:val="Titolo3"/>
        <w:tabs>
          <w:tab w:val="right" w:pos="9026"/>
        </w:tabs>
      </w:pPr>
      <w:r>
        <w:t>EVENTI</w:t>
      </w:r>
      <w:r>
        <w:tab/>
        <w:t>2</w:t>
      </w:r>
      <w:r w:rsidR="00EB2710">
        <w:t>2</w:t>
      </w:r>
    </w:p>
    <w:p w14:paraId="0CDE510A" w14:textId="18E9608E" w:rsidR="00770E8D" w:rsidRDefault="007F6776" w:rsidP="007F6776">
      <w:pPr>
        <w:pStyle w:val="Titolo3"/>
        <w:tabs>
          <w:tab w:val="right" w:pos="9026"/>
        </w:tabs>
      </w:pPr>
      <w:r>
        <w:t>DONAZIONI</w:t>
      </w:r>
      <w:r>
        <w:tab/>
        <w:t>2</w:t>
      </w:r>
      <w:r w:rsidR="00EB2710">
        <w:t>3</w:t>
      </w:r>
    </w:p>
    <w:p w14:paraId="47D79C5D" w14:textId="7F6C27F6" w:rsidR="00770E8D" w:rsidRDefault="007F6776" w:rsidP="007F6776">
      <w:pPr>
        <w:pStyle w:val="Titolo3"/>
        <w:tabs>
          <w:tab w:val="right" w:pos="9026"/>
        </w:tabs>
      </w:pPr>
      <w:r>
        <w:t>FORMAZIONE STUDENTI E STUDENTESSE</w:t>
      </w:r>
      <w:r>
        <w:tab/>
        <w:t>2</w:t>
      </w:r>
      <w:r w:rsidR="00EB2710">
        <w:t>4</w:t>
      </w:r>
    </w:p>
    <w:p w14:paraId="35966A50" w14:textId="5EACF2D7" w:rsidR="00770E8D" w:rsidRDefault="007F6776" w:rsidP="007F6776">
      <w:pPr>
        <w:pStyle w:val="Titolo3"/>
        <w:tabs>
          <w:tab w:val="right" w:pos="9026"/>
        </w:tabs>
      </w:pPr>
      <w:r>
        <w:t>RICERCATORI E RICERCATRICI A TEMPO DETERMINATO</w:t>
      </w:r>
      <w:r>
        <w:tab/>
        <w:t>2</w:t>
      </w:r>
      <w:r w:rsidR="00EB2710">
        <w:t>5</w:t>
      </w:r>
    </w:p>
    <w:p w14:paraId="377E63DC" w14:textId="3E6A7A80" w:rsidR="007F6776" w:rsidRDefault="007F6776" w:rsidP="007F6776">
      <w:pPr>
        <w:pStyle w:val="Titolo3"/>
        <w:tabs>
          <w:tab w:val="right" w:pos="9026"/>
        </w:tabs>
      </w:pPr>
      <w:r>
        <w:t>CONTATTI</w:t>
      </w:r>
      <w:r>
        <w:tab/>
        <w:t>2</w:t>
      </w:r>
      <w:r w:rsidR="00EB2710">
        <w:t>6</w:t>
      </w:r>
    </w:p>
    <w:p w14:paraId="329FA639" w14:textId="77777777" w:rsidR="007F6776" w:rsidRDefault="007F6776">
      <w:r>
        <w:br w:type="page"/>
      </w:r>
    </w:p>
    <w:p w14:paraId="6EDF391B" w14:textId="719D179C" w:rsidR="00770E8D" w:rsidRDefault="00770E8D" w:rsidP="007F6776">
      <w:r>
        <w:lastRenderedPageBreak/>
        <w:t xml:space="preserve">L’impegno costante del nostro Ateneo in molteplici attività a sostegno dello sviluppo tecnologico e del trasferimento delle conoscenze si fonda sulla convinzione che l’innovazione sia il principale fattore da cui dipende il futuro dell’economia del nostro territorio. </w:t>
      </w:r>
    </w:p>
    <w:p w14:paraId="049EAD9C" w14:textId="7D9CC047" w:rsidR="00770E8D" w:rsidRDefault="00770E8D" w:rsidP="007F6776">
      <w:r>
        <w:t>L’intensificazione delle relazioni tra sistema delle imprese e Ateneo</w:t>
      </w:r>
      <w:r w:rsidR="005B5062">
        <w:t xml:space="preserve"> </w:t>
      </w:r>
      <w:r>
        <w:t xml:space="preserve">non è solo un modo per avvicinarsi alla ricerca universitaria, ma anche un’occasione di contaminazione di idee, di formazione e di crescita professionale, sia per le risorse umane già occupate che per la comunità studentesca e laureati/e che si avvicinano al mondo del lavoro. </w:t>
      </w:r>
    </w:p>
    <w:p w14:paraId="596507F1" w14:textId="0189626D" w:rsidR="00770E8D" w:rsidRDefault="00770E8D" w:rsidP="00770E8D">
      <w:r>
        <w:t>Questo breve manuale è stato redatto con l’obiettivo di mettere a sistema tutte le possibilità di collaborazione attuabili con l’Università di Verona al fine di promuovere nuove relazioni tra Ateneo e sistema produttivo, lo sviluppo di nuove progettualità,</w:t>
      </w:r>
      <w:r w:rsidR="005B5062">
        <w:t xml:space="preserve"> </w:t>
      </w:r>
      <w:r>
        <w:t>l’incontro tra domanda e offerta di lavoro, le iniziative socio-culturali rivolte alla cittadinanza. Un fattivo contributo verso una buona collaborazione, che determina a sua volta una migliore qualità, incentiva le progettualità, genera ambienti di lavoro confortevoli e fa crescere le organizzazioni.</w:t>
      </w:r>
    </w:p>
    <w:p w14:paraId="57553424" w14:textId="562B6240" w:rsidR="00770E8D" w:rsidRPr="007F6776" w:rsidRDefault="00770E8D" w:rsidP="00770E8D">
      <w:pPr>
        <w:rPr>
          <w:b/>
          <w:bCs/>
        </w:rPr>
      </w:pPr>
      <w:r w:rsidRPr="007F6776">
        <w:rPr>
          <w:b/>
          <w:bCs/>
        </w:rPr>
        <w:t>Pier Francesco Nocini</w:t>
      </w:r>
    </w:p>
    <w:p w14:paraId="7ABE3293" w14:textId="77777777" w:rsidR="00770E8D" w:rsidRPr="007F6776" w:rsidRDefault="00770E8D" w:rsidP="00770E8D">
      <w:pPr>
        <w:rPr>
          <w:i/>
          <w:iCs/>
        </w:rPr>
      </w:pPr>
      <w:r w:rsidRPr="007F6776">
        <w:rPr>
          <w:i/>
          <w:iCs/>
        </w:rPr>
        <w:t>Rettore dell’Università di Verona</w:t>
      </w:r>
    </w:p>
    <w:p w14:paraId="6DA72803" w14:textId="53E7233A" w:rsidR="00770E8D" w:rsidRDefault="00770E8D" w:rsidP="00770E8D"/>
    <w:p w14:paraId="4793D086" w14:textId="77777777" w:rsidR="00770E8D" w:rsidRDefault="00770E8D">
      <w:r>
        <w:br w:type="page"/>
      </w:r>
    </w:p>
    <w:p w14:paraId="40B6E99C" w14:textId="7D0D45D3" w:rsidR="00770E8D" w:rsidRDefault="007F6776" w:rsidP="007F6776">
      <w:pPr>
        <w:pStyle w:val="Titolo2"/>
      </w:pPr>
      <w:r>
        <w:lastRenderedPageBreak/>
        <w:t>L’UNIVERSITÀ PER LE IMPRESE</w:t>
      </w:r>
    </w:p>
    <w:p w14:paraId="442CDC84" w14:textId="77777777" w:rsidR="00770E8D" w:rsidRDefault="00770E8D" w:rsidP="007F6776">
      <w:pPr>
        <w:pStyle w:val="Titolo3"/>
      </w:pPr>
      <w:r>
        <w:t>OPPORTUNITÀ E AGEVOLAZIONI PER LA COLLABORAZIONE UNIVERSITÀ &amp; IMPRESA</w:t>
      </w:r>
    </w:p>
    <w:p w14:paraId="6D843C61" w14:textId="77777777" w:rsidR="00013F8C" w:rsidRDefault="00013F8C" w:rsidP="00770E8D"/>
    <w:p w14:paraId="14D0361B" w14:textId="583B143D" w:rsidR="00770E8D" w:rsidRDefault="00770E8D" w:rsidP="00770E8D">
      <w:r>
        <w:t>All’interno della società della conoscenza, è ormai consolidata l’idea che l’Ateneo persegua una Terza Missione oltre a quelle tradizionali di ricerca e alta formazione.</w:t>
      </w:r>
    </w:p>
    <w:p w14:paraId="12B8690D" w14:textId="77777777" w:rsidR="00770E8D" w:rsidRDefault="00770E8D" w:rsidP="00770E8D">
      <w:r>
        <w:t>L’Università di Verona promuove la collaborazione con le imprese attraverso progetti che consentano l’utilizzo di nuove tecnologie, personale di ricerca e strutture dell’Ateneo e favorendo l’incontro tra domanda e offerta di lavoro, mettendo in contatto le aziende con giovani laureati/e, attraverso stage, tirocini, inserimento lavorativo. Attraverso queste attività l’Università si impegna ad offrire il proprio contributo a sostegno dell’innovazione tecnologica, economica e sociale del territorio e del Paese.</w:t>
      </w:r>
    </w:p>
    <w:p w14:paraId="47A2D6E3" w14:textId="77777777" w:rsidR="00770E8D" w:rsidRDefault="00770E8D" w:rsidP="00770E8D">
      <w:r>
        <w:t> </w:t>
      </w:r>
    </w:p>
    <w:p w14:paraId="5B37DAF0" w14:textId="77777777" w:rsidR="00770E8D" w:rsidRDefault="00770E8D">
      <w:r>
        <w:br w:type="page"/>
      </w:r>
    </w:p>
    <w:p w14:paraId="4D1AA106" w14:textId="0CB37262" w:rsidR="00770E8D" w:rsidRDefault="00770E8D" w:rsidP="007F6776">
      <w:pPr>
        <w:pStyle w:val="Titolo2"/>
      </w:pPr>
      <w:r>
        <w:lastRenderedPageBreak/>
        <w:t>TRASFERIMENTO DI CONOSCENZE</w:t>
      </w:r>
    </w:p>
    <w:p w14:paraId="11A045DD" w14:textId="77777777" w:rsidR="00770E8D" w:rsidRDefault="00770E8D" w:rsidP="00770E8D">
      <w:r>
        <w:t>L’Università promuove l’applicazione e la divulgazione delle conoscenze e delle tecnologie prodotte al suo interno, in un rapporto costruttivo con il tessuto imprenditoriale. L’Ateneo è attivamente impegnato nel trasferimento di tecnologie e conoscenze innovative a imprese private, amministrazioni pubbliche, scuole ed enti. Sono numerose le forme di collaborazione che possono concretizzarsi tra l’Università di Verona e le aziende anche con attività ad hoc.</w:t>
      </w:r>
    </w:p>
    <w:p w14:paraId="4CA4EB3A" w14:textId="77777777" w:rsidR="00770E8D" w:rsidRDefault="00770E8D" w:rsidP="00770E8D">
      <w:r>
        <w:t>Il punto di riferimento con le imprese è il Liaison Office dell’Area Ricerca.</w:t>
      </w:r>
    </w:p>
    <w:p w14:paraId="6A464C9F" w14:textId="77777777" w:rsidR="00770E8D" w:rsidRDefault="00770E8D" w:rsidP="007F6776">
      <w:pPr>
        <w:pStyle w:val="Titolo3"/>
      </w:pPr>
      <w:r>
        <w:t>VANTAGGI PER LE IMPRESE</w:t>
      </w:r>
    </w:p>
    <w:p w14:paraId="25F66879" w14:textId="0E560BC7" w:rsidR="00770E8D" w:rsidRDefault="00770E8D" w:rsidP="007F6776">
      <w:pPr>
        <w:pStyle w:val="Puntoelenco"/>
      </w:pPr>
      <w:r>
        <w:t>Facilitazione nell’incontro con i gruppi di ricerca che intendono valorizzare i risultati della ricerca</w:t>
      </w:r>
    </w:p>
    <w:p w14:paraId="7912B555" w14:textId="460B369C" w:rsidR="00770E8D" w:rsidRDefault="00770E8D" w:rsidP="007F6776">
      <w:pPr>
        <w:pStyle w:val="Puntoelenco"/>
      </w:pPr>
      <w:r>
        <w:t>Accesso al portafoglio Brevetti, e al contatto diretto con gli Spin Off derivati dalla ricerca</w:t>
      </w:r>
    </w:p>
    <w:p w14:paraId="5DC373BD" w14:textId="691389D4" w:rsidR="00770E8D" w:rsidRDefault="00770E8D" w:rsidP="007F6776">
      <w:pPr>
        <w:pStyle w:val="Puntoelenco"/>
      </w:pPr>
      <w:r>
        <w:t>Supporto alla presentazione dei progetti finanziati da bandi di Ateneo e cofinanziamenti dedicati alle collaborazioni con le imprese</w:t>
      </w:r>
    </w:p>
    <w:p w14:paraId="5120D752" w14:textId="77777777" w:rsidR="00770E8D" w:rsidRDefault="00770E8D" w:rsidP="007F6776">
      <w:pPr>
        <w:pStyle w:val="Titolo3"/>
      </w:pPr>
      <w:r>
        <w:t>MODALITÀ DI ATTIVAZIONE</w:t>
      </w:r>
    </w:p>
    <w:p w14:paraId="73F147EB" w14:textId="77777777" w:rsidR="00770E8D" w:rsidRDefault="00770E8D" w:rsidP="00770E8D">
      <w:r>
        <w:t>Le imprese contattano il Liaison Office allo scopo di incontrare comunità docente e ricercatori/ricercatrici stabilendo di volta in volta le modalità operative e gli accordi per la formalizzazione del rapporto di collaborazione</w:t>
      </w:r>
    </w:p>
    <w:p w14:paraId="42B5E0E0" w14:textId="77777777" w:rsidR="00770E8D" w:rsidRPr="007F6776" w:rsidRDefault="00770E8D" w:rsidP="007F6776">
      <w:pPr>
        <w:pStyle w:val="Titolo3"/>
      </w:pPr>
      <w:r w:rsidRPr="007F6776">
        <w:t>RIFERIMENTO</w:t>
      </w:r>
    </w:p>
    <w:p w14:paraId="3DDADB5A" w14:textId="2D9B7517" w:rsidR="00770E8D" w:rsidRDefault="00770E8D" w:rsidP="007F6776">
      <w:r>
        <w:t>Liaison Office</w:t>
      </w:r>
    </w:p>
    <w:p w14:paraId="3836C5AD" w14:textId="77777777" w:rsidR="007F6776" w:rsidRDefault="007F6776">
      <w:r>
        <w:br w:type="page"/>
      </w:r>
    </w:p>
    <w:p w14:paraId="684034DC" w14:textId="3FE7BC7C" w:rsidR="00770E8D" w:rsidRDefault="00770E8D" w:rsidP="007F6776">
      <w:pPr>
        <w:pStyle w:val="Titolo2"/>
      </w:pPr>
      <w:r>
        <w:lastRenderedPageBreak/>
        <w:t>RICERCA COMMISSIONATA</w:t>
      </w:r>
    </w:p>
    <w:p w14:paraId="0238B7DD" w14:textId="77777777" w:rsidR="00770E8D" w:rsidRDefault="00770E8D" w:rsidP="00770E8D">
      <w:r>
        <w:t>La ricerca commissionata (o conto terzi) consiste nella richiesta da parte delle imprese di una prestazione a pagamento all’Università che mette a disposizione il patrimonio di conoscenze tecnologiche e scientifiche, il know-how specialistico e le professionalità di ricercatori e ricercatrici. Le prestazioni conto terzi possono comprendere attività di ricerca, di formazione e di laboratorio (a tariffa e a preventivo) su richiesta e interesse specifico del committente.</w:t>
      </w:r>
    </w:p>
    <w:p w14:paraId="6DBCCEEB" w14:textId="77777777" w:rsidR="00770E8D" w:rsidRDefault="00770E8D" w:rsidP="007F6776">
      <w:pPr>
        <w:pStyle w:val="Titolo3"/>
      </w:pPr>
      <w:r>
        <w:t>VANTAGGI PER LE IMPRESE</w:t>
      </w:r>
    </w:p>
    <w:p w14:paraId="7F5AFD16" w14:textId="37929744" w:rsidR="00770E8D" w:rsidRDefault="00770E8D" w:rsidP="007F6776">
      <w:pPr>
        <w:pStyle w:val="Puntoelenco"/>
      </w:pPr>
      <w:r>
        <w:t xml:space="preserve"> Possibilità di ricevere soluzioni a problematiche complesse</w:t>
      </w:r>
    </w:p>
    <w:p w14:paraId="60AC2E99" w14:textId="3BBC082E" w:rsidR="00770E8D" w:rsidRDefault="00770E8D" w:rsidP="007F6776">
      <w:pPr>
        <w:pStyle w:val="Puntoelenco"/>
      </w:pPr>
      <w:r>
        <w:t>Trasferimento di conoscenze e competenze dei gruppi di ricerca</w:t>
      </w:r>
    </w:p>
    <w:p w14:paraId="48849C4B" w14:textId="0CF31C3D" w:rsidR="00770E8D" w:rsidRDefault="00770E8D" w:rsidP="007F6776">
      <w:pPr>
        <w:pStyle w:val="Puntoelenco"/>
      </w:pPr>
      <w:r>
        <w:t>Utilizzo di strutture scientifiche</w:t>
      </w:r>
    </w:p>
    <w:p w14:paraId="226CB4A0" w14:textId="2A71CC08" w:rsidR="00770E8D" w:rsidRDefault="00770E8D" w:rsidP="007F6776">
      <w:pPr>
        <w:pStyle w:val="Puntoelenco"/>
      </w:pPr>
      <w:r>
        <w:t>Consolidamento delle relazioni tra azienda e Università</w:t>
      </w:r>
    </w:p>
    <w:p w14:paraId="01952241" w14:textId="77777777" w:rsidR="00770E8D" w:rsidRDefault="00770E8D" w:rsidP="007F6776">
      <w:pPr>
        <w:pStyle w:val="Titolo3"/>
      </w:pPr>
      <w:r>
        <w:t>AGEVOLAZIONI FISCALI</w:t>
      </w:r>
    </w:p>
    <w:p w14:paraId="514FC3E5" w14:textId="2054F7F2" w:rsidR="00770E8D" w:rsidRPr="007F6776" w:rsidRDefault="00770E8D" w:rsidP="007F6776">
      <w:pPr>
        <w:pStyle w:val="Puntoelenco"/>
      </w:pPr>
      <w:r w:rsidRPr="007F6776">
        <w:t>Credito di imposta per ricerca e sviluppo</w:t>
      </w:r>
    </w:p>
    <w:p w14:paraId="7C1B0F71" w14:textId="589ECEA7" w:rsidR="00770E8D" w:rsidRPr="007F6776" w:rsidRDefault="00770E8D" w:rsidP="007F6776">
      <w:pPr>
        <w:pStyle w:val="Puntoelenco"/>
      </w:pPr>
      <w:proofErr w:type="spellStart"/>
      <w:r w:rsidRPr="007F6776">
        <w:t>Patent</w:t>
      </w:r>
      <w:proofErr w:type="spellEnd"/>
      <w:r w:rsidRPr="007F6776">
        <w:t xml:space="preserve"> Box</w:t>
      </w:r>
    </w:p>
    <w:p w14:paraId="0074E3F3" w14:textId="77777777" w:rsidR="00770E8D" w:rsidRDefault="00770E8D" w:rsidP="007F6776">
      <w:pPr>
        <w:pStyle w:val="Titolo3"/>
      </w:pPr>
      <w:r>
        <w:t>MODALITÀ DI ATTIVAZIONE</w:t>
      </w:r>
    </w:p>
    <w:p w14:paraId="1F59A311" w14:textId="77777777" w:rsidR="00770E8D" w:rsidRDefault="00770E8D" w:rsidP="00770E8D">
      <w:r>
        <w:t>L’impresa interessata contatta il Liaison Office dell’Area Ricerca di Ateneo al fine di individuare le competenze interne più idonee. Una volta confermata la struttura didattico-scientifica e il ricercatore o la ricercatrice di riferimento, viene formulata la proposta di incarico con indicazione dei termini, le modalità e il corrispettivo</w:t>
      </w:r>
    </w:p>
    <w:p w14:paraId="1D84E208" w14:textId="77777777" w:rsidR="00770E8D" w:rsidRDefault="00770E8D" w:rsidP="007F6776">
      <w:pPr>
        <w:pStyle w:val="Titolo3"/>
      </w:pPr>
      <w:r>
        <w:t>NORMATIVA</w:t>
      </w:r>
    </w:p>
    <w:p w14:paraId="0DDFFE36" w14:textId="46BF705C" w:rsidR="00770E8D" w:rsidRDefault="00770E8D" w:rsidP="007F6776">
      <w:pPr>
        <w:pStyle w:val="Puntoelenco"/>
      </w:pPr>
      <w:r>
        <w:t>Legge n. 240 del 30.12.2010</w:t>
      </w:r>
    </w:p>
    <w:p w14:paraId="65282506" w14:textId="5A8D5C28" w:rsidR="00770E8D" w:rsidRDefault="00770E8D" w:rsidP="007F6776">
      <w:pPr>
        <w:pStyle w:val="Puntoelenco"/>
      </w:pPr>
      <w:r>
        <w:t>Regolamento contratti e convenzioni per attività conto terzi. DR 924 del 31.05.2017</w:t>
      </w:r>
    </w:p>
    <w:p w14:paraId="24FAB7A3" w14:textId="77777777" w:rsidR="00770E8D" w:rsidRDefault="00770E8D" w:rsidP="007F6776">
      <w:pPr>
        <w:pStyle w:val="Titolo3"/>
      </w:pPr>
      <w:r>
        <w:t>RIFERIMENTO</w:t>
      </w:r>
    </w:p>
    <w:p w14:paraId="4163A701" w14:textId="77777777" w:rsidR="00770E8D" w:rsidRDefault="00770E8D" w:rsidP="00770E8D">
      <w:r>
        <w:t>Liaison Office</w:t>
      </w:r>
    </w:p>
    <w:p w14:paraId="270AB372" w14:textId="77777777" w:rsidR="00770E8D" w:rsidRDefault="00770E8D" w:rsidP="00770E8D">
      <w:r>
        <w:t> </w:t>
      </w:r>
    </w:p>
    <w:p w14:paraId="63216B4A" w14:textId="77777777" w:rsidR="00770E8D" w:rsidRDefault="00770E8D">
      <w:r>
        <w:br w:type="page"/>
      </w:r>
    </w:p>
    <w:p w14:paraId="6092ED56" w14:textId="101DD281" w:rsidR="00770E8D" w:rsidRDefault="00770E8D" w:rsidP="00013F8C">
      <w:pPr>
        <w:pStyle w:val="Titolo2"/>
      </w:pPr>
      <w:r>
        <w:lastRenderedPageBreak/>
        <w:t>RICERCA CONGIUNTA</w:t>
      </w:r>
    </w:p>
    <w:p w14:paraId="7FA7DCAC" w14:textId="77777777" w:rsidR="00770E8D" w:rsidRDefault="00770E8D" w:rsidP="00770E8D">
      <w:r>
        <w:t xml:space="preserve">La realizzazione di progetti di ricerca di interesse comune per imprese e Università è possibile attraverso gli strumenti offerti dalla ricerca congiunta che prevedono l’impiego di risorse, competenze o strutture di entrambe le parti. La ricerca in collaborazione fra Ateneo e imprese partner si può sviluppare anche nell’ambito di bandi di finanziamento a valere su risorse comunitarie, nazionali, regionali, o di Ateneo come il Bando Joint </w:t>
      </w:r>
      <w:proofErr w:type="spellStart"/>
      <w:r>
        <w:t>Research</w:t>
      </w:r>
      <w:proofErr w:type="spellEnd"/>
      <w:r>
        <w:t>.</w:t>
      </w:r>
    </w:p>
    <w:p w14:paraId="04888AE5" w14:textId="77777777" w:rsidR="00770E8D" w:rsidRDefault="00770E8D" w:rsidP="00013F8C">
      <w:pPr>
        <w:pStyle w:val="Titolo3"/>
      </w:pPr>
      <w:r>
        <w:t>VANTAGGI PER LE IMPRESE</w:t>
      </w:r>
    </w:p>
    <w:p w14:paraId="05452399" w14:textId="2FC5B3BE" w:rsidR="00770E8D" w:rsidRDefault="00770E8D" w:rsidP="00013F8C">
      <w:pPr>
        <w:pStyle w:val="Puntoelenco"/>
      </w:pPr>
      <w:r>
        <w:t>Creazione di partenariati tra il mondo imprenditoriale e l’Università per sviluppare programmi innovativi</w:t>
      </w:r>
    </w:p>
    <w:p w14:paraId="48736518" w14:textId="1EDD0F0C" w:rsidR="00770E8D" w:rsidRDefault="00770E8D" w:rsidP="00013F8C">
      <w:pPr>
        <w:pStyle w:val="Puntoelenco"/>
      </w:pPr>
      <w:r>
        <w:t>Dialogo tra Università e impresa per sviluppare progetti innovativi</w:t>
      </w:r>
    </w:p>
    <w:p w14:paraId="0DFA329F" w14:textId="390B351A" w:rsidR="00770E8D" w:rsidRDefault="00770E8D" w:rsidP="00013F8C">
      <w:pPr>
        <w:pStyle w:val="Puntoelenco"/>
      </w:pPr>
      <w:r>
        <w:t>Accesso a bandi di finanziamento e a network nazionali e internazionali</w:t>
      </w:r>
    </w:p>
    <w:p w14:paraId="5274BCA0" w14:textId="06440FE7" w:rsidR="00770E8D" w:rsidRDefault="00770E8D" w:rsidP="00013F8C">
      <w:pPr>
        <w:pStyle w:val="Puntoelenco"/>
      </w:pPr>
      <w:r>
        <w:t>Consolidamento delle relazioni tra azienda e Università</w:t>
      </w:r>
    </w:p>
    <w:p w14:paraId="219F9E27" w14:textId="77777777" w:rsidR="00770E8D" w:rsidRDefault="00770E8D" w:rsidP="00013F8C">
      <w:pPr>
        <w:pStyle w:val="Titolo3"/>
      </w:pPr>
      <w:r>
        <w:t>AGEVOLAZIONI FISCALI</w:t>
      </w:r>
    </w:p>
    <w:p w14:paraId="0382F89E" w14:textId="5EFD0F88" w:rsidR="00770E8D" w:rsidRDefault="00770E8D" w:rsidP="00013F8C">
      <w:pPr>
        <w:pStyle w:val="Puntoelenco"/>
      </w:pPr>
      <w:r>
        <w:t>Credito di imposta per ricerca e sviluppo</w:t>
      </w:r>
    </w:p>
    <w:p w14:paraId="52886C96" w14:textId="00CAE040" w:rsidR="00770E8D" w:rsidRDefault="00770E8D" w:rsidP="00013F8C">
      <w:pPr>
        <w:pStyle w:val="Puntoelenco"/>
      </w:pPr>
      <w:proofErr w:type="spellStart"/>
      <w:r>
        <w:t>Patent</w:t>
      </w:r>
      <w:proofErr w:type="spellEnd"/>
      <w:r>
        <w:t xml:space="preserve"> Box</w:t>
      </w:r>
    </w:p>
    <w:p w14:paraId="4E3CFEAE" w14:textId="77777777" w:rsidR="00770E8D" w:rsidRDefault="00770E8D" w:rsidP="00013F8C">
      <w:pPr>
        <w:pStyle w:val="Titolo3"/>
      </w:pPr>
      <w:r>
        <w:t>MODALITÀ DI ATTIVAZIONE</w:t>
      </w:r>
    </w:p>
    <w:p w14:paraId="150336B9" w14:textId="77777777" w:rsidR="00770E8D" w:rsidRDefault="00770E8D" w:rsidP="00770E8D">
      <w:r>
        <w:t>L’attività di ricerca in collaborazione prevede la sottoscrizione di una convenzione tra impresa e Università o la sottoscrizione di una proposta progettuale di un bando di finanziamento</w:t>
      </w:r>
    </w:p>
    <w:p w14:paraId="25357FBA" w14:textId="77777777" w:rsidR="00770E8D" w:rsidRDefault="00770E8D" w:rsidP="00013F8C">
      <w:pPr>
        <w:pStyle w:val="Titolo3"/>
      </w:pPr>
      <w:r>
        <w:t>NORMATIVA</w:t>
      </w:r>
    </w:p>
    <w:p w14:paraId="1071BCCB" w14:textId="46B6C0F4" w:rsidR="00770E8D" w:rsidRDefault="00770E8D" w:rsidP="00013F8C">
      <w:pPr>
        <w:pStyle w:val="Puntoelenco"/>
      </w:pPr>
      <w:r>
        <w:t>Legge n. 240 del 30.12.2010</w:t>
      </w:r>
    </w:p>
    <w:p w14:paraId="76647064" w14:textId="012CD0ED" w:rsidR="00770E8D" w:rsidRDefault="00770E8D" w:rsidP="00013F8C">
      <w:pPr>
        <w:pStyle w:val="Puntoelenco"/>
      </w:pPr>
      <w:r>
        <w:t>Regolamento contratti e convenzioni per attività conto terzi. DR 924 del 31.05.2017</w:t>
      </w:r>
    </w:p>
    <w:p w14:paraId="43575C29" w14:textId="77777777" w:rsidR="00770E8D" w:rsidRDefault="00770E8D" w:rsidP="00013F8C">
      <w:pPr>
        <w:pStyle w:val="Titolo3"/>
      </w:pPr>
      <w:r>
        <w:t>RIFERIMENTO</w:t>
      </w:r>
    </w:p>
    <w:p w14:paraId="09775994" w14:textId="77777777" w:rsidR="00770E8D" w:rsidRDefault="00770E8D" w:rsidP="00770E8D">
      <w:r>
        <w:t>Liaison Office</w:t>
      </w:r>
    </w:p>
    <w:p w14:paraId="42B43D96" w14:textId="77777777" w:rsidR="00770E8D" w:rsidRDefault="00770E8D" w:rsidP="00770E8D">
      <w:r>
        <w:t> </w:t>
      </w:r>
    </w:p>
    <w:p w14:paraId="58492BC6" w14:textId="77777777" w:rsidR="00770E8D" w:rsidRDefault="00770E8D">
      <w:r>
        <w:br w:type="page"/>
      </w:r>
    </w:p>
    <w:p w14:paraId="17AB6D86" w14:textId="141DDA37" w:rsidR="00770E8D" w:rsidRDefault="00770E8D" w:rsidP="00013F8C">
      <w:pPr>
        <w:pStyle w:val="Titolo2"/>
      </w:pPr>
      <w:r>
        <w:lastRenderedPageBreak/>
        <w:t>BREVETTI</w:t>
      </w:r>
    </w:p>
    <w:p w14:paraId="269572D7" w14:textId="77777777" w:rsidR="00770E8D" w:rsidRDefault="00770E8D" w:rsidP="00770E8D">
      <w:r>
        <w:t xml:space="preserve">I trovati tecnologici e le innovazioni nate all’interno del contesto accademico sono tutelati dal brevetto. Le imprese possono sfruttare tale tecnologia brevettata dall’Università di Verona attraverso accordi di licenza o richieste di cessione del brevetto. Le schede complete delle tecnologie più promettenti coperte da domanda di brevetto sono presenti nella piattaforma nazionale </w:t>
      </w:r>
      <w:proofErr w:type="spellStart"/>
      <w:r>
        <w:t>Knowoledge</w:t>
      </w:r>
      <w:proofErr w:type="spellEnd"/>
      <w:r>
        <w:t xml:space="preserve"> Share riconosciuta da UIBM e NETVAL.</w:t>
      </w:r>
    </w:p>
    <w:p w14:paraId="5799FB7A" w14:textId="77777777" w:rsidR="00770E8D" w:rsidRDefault="00770E8D" w:rsidP="00013F8C">
      <w:pPr>
        <w:pStyle w:val="Titolo3"/>
      </w:pPr>
      <w:r>
        <w:t>VANTAGGI PER LE IMPRESE</w:t>
      </w:r>
    </w:p>
    <w:p w14:paraId="4951513C" w14:textId="060696F4" w:rsidR="00770E8D" w:rsidRDefault="00770E8D" w:rsidP="0041465B">
      <w:pPr>
        <w:pStyle w:val="Puntoelenco"/>
      </w:pPr>
      <w:r>
        <w:t>Accesso a nuove tecnologie sviluppate nell’ambito della ricerca scientifica al fine di poter conseguire o mantenere una posizione di competitività sul mercato nazionale e internazionale</w:t>
      </w:r>
    </w:p>
    <w:p w14:paraId="4FA64370" w14:textId="4B8BE681" w:rsidR="00770E8D" w:rsidRDefault="00770E8D" w:rsidP="0041465B">
      <w:pPr>
        <w:pStyle w:val="Puntoelenco"/>
      </w:pPr>
      <w:r>
        <w:t>Riduzione dei tempi per conseguire innovazione e vantaggio competitivo</w:t>
      </w:r>
    </w:p>
    <w:p w14:paraId="3875F4F5" w14:textId="716BCA63" w:rsidR="00770E8D" w:rsidRDefault="00770E8D" w:rsidP="0041465B">
      <w:pPr>
        <w:pStyle w:val="Puntoelenco"/>
      </w:pPr>
      <w:r>
        <w:t>Consolidamento delle relazioni tra azienda e Università</w:t>
      </w:r>
    </w:p>
    <w:p w14:paraId="4B9FE78A" w14:textId="77777777" w:rsidR="00770E8D" w:rsidRDefault="00770E8D" w:rsidP="00013F8C">
      <w:pPr>
        <w:pStyle w:val="Titolo3"/>
      </w:pPr>
      <w:r>
        <w:t>AGEVOLAZIONI FISCALI</w:t>
      </w:r>
    </w:p>
    <w:p w14:paraId="508276DE" w14:textId="6A9E3F0F" w:rsidR="00770E8D" w:rsidRPr="0041465B" w:rsidRDefault="00770E8D" w:rsidP="0041465B">
      <w:pPr>
        <w:pStyle w:val="Puntoelenco"/>
      </w:pPr>
      <w:proofErr w:type="spellStart"/>
      <w:r w:rsidRPr="0041465B">
        <w:t>Patent</w:t>
      </w:r>
      <w:proofErr w:type="spellEnd"/>
      <w:r w:rsidRPr="0041465B">
        <w:t xml:space="preserve"> Box</w:t>
      </w:r>
    </w:p>
    <w:p w14:paraId="38170568" w14:textId="3DC0DE5E" w:rsidR="00770E8D" w:rsidRPr="0041465B" w:rsidRDefault="00770E8D" w:rsidP="0041465B">
      <w:pPr>
        <w:pStyle w:val="Puntoelenco"/>
      </w:pPr>
      <w:r w:rsidRPr="0041465B">
        <w:t>Credito di imposta per ricerca e sviluppo</w:t>
      </w:r>
    </w:p>
    <w:p w14:paraId="663729B1" w14:textId="75AA3E00" w:rsidR="00770E8D" w:rsidRPr="0041465B" w:rsidRDefault="00770E8D" w:rsidP="0041465B">
      <w:pPr>
        <w:pStyle w:val="Puntoelenco"/>
      </w:pPr>
      <w:r w:rsidRPr="0041465B">
        <w:t>Sgravi fiscali per start up innovative</w:t>
      </w:r>
    </w:p>
    <w:p w14:paraId="63621A2B" w14:textId="77777777" w:rsidR="00770E8D" w:rsidRDefault="00770E8D" w:rsidP="00013F8C">
      <w:pPr>
        <w:pStyle w:val="Titolo3"/>
      </w:pPr>
      <w:r>
        <w:t>MODALITÀ DI ATTIVAZIONE</w:t>
      </w:r>
    </w:p>
    <w:p w14:paraId="4592D8BC" w14:textId="77777777" w:rsidR="00770E8D" w:rsidRDefault="00770E8D" w:rsidP="00770E8D">
      <w:r>
        <w:t>Nel caso di licenza, l’azienda può sfruttare commercialmente l’invenzione (che resta di proprietà dell’Ateneo), pagando un corrispettivo che può essere articolato in componenti una tantum, fisse o variabili (canoni o royalties).</w:t>
      </w:r>
    </w:p>
    <w:p w14:paraId="2D917A77" w14:textId="77777777" w:rsidR="00770E8D" w:rsidRDefault="00770E8D" w:rsidP="00770E8D">
      <w:r>
        <w:t>Nel caso di cessione di brevetto, dietro pagamento di un corrispettivo, l’azienda ottiene la cessione dello stesso dall’Ateneo e potrà sfruttarlo direttamente o a sua volta cederlo o darlo in licenza a terzi. La definizione delle condizioni dei contratti avviene su negoziazione</w:t>
      </w:r>
    </w:p>
    <w:p w14:paraId="36D328B6" w14:textId="77777777" w:rsidR="00770E8D" w:rsidRDefault="00770E8D" w:rsidP="00013F8C">
      <w:pPr>
        <w:pStyle w:val="Titolo3"/>
      </w:pPr>
      <w:r>
        <w:t>NORMATIVA</w:t>
      </w:r>
    </w:p>
    <w:p w14:paraId="5DCDB059" w14:textId="32385F76" w:rsidR="00770E8D" w:rsidRDefault="00770E8D" w:rsidP="0041465B">
      <w:pPr>
        <w:pStyle w:val="Puntoelenco"/>
      </w:pPr>
      <w:r>
        <w:t>Legge n. 240 del 30.12.2010</w:t>
      </w:r>
    </w:p>
    <w:p w14:paraId="36F32531" w14:textId="6ADD9009" w:rsidR="00770E8D" w:rsidRDefault="00770E8D" w:rsidP="0041465B">
      <w:pPr>
        <w:pStyle w:val="Puntoelenco"/>
      </w:pPr>
      <w:r>
        <w:t>Regolamento in materia di proprietà industriale e intellettuale DR 5288 del 02.07.2020</w:t>
      </w:r>
    </w:p>
    <w:p w14:paraId="32BB0219" w14:textId="77777777" w:rsidR="00770E8D" w:rsidRDefault="00770E8D" w:rsidP="00013F8C">
      <w:pPr>
        <w:pStyle w:val="Titolo3"/>
      </w:pPr>
      <w:r>
        <w:t>RIFERIMENTO</w:t>
      </w:r>
    </w:p>
    <w:p w14:paraId="4B4C3A0B" w14:textId="77777777" w:rsidR="00770E8D" w:rsidRDefault="00770E8D" w:rsidP="00770E8D">
      <w:r>
        <w:t>Liaison Office</w:t>
      </w:r>
    </w:p>
    <w:p w14:paraId="465BA458" w14:textId="77777777" w:rsidR="00770E8D" w:rsidRDefault="00770E8D" w:rsidP="00770E8D">
      <w:r>
        <w:t> </w:t>
      </w:r>
    </w:p>
    <w:p w14:paraId="3441AE9A" w14:textId="77777777" w:rsidR="00770E8D" w:rsidRDefault="00770E8D">
      <w:r>
        <w:br w:type="page"/>
      </w:r>
    </w:p>
    <w:p w14:paraId="44BC9078" w14:textId="0A2122D3" w:rsidR="00770E8D" w:rsidRPr="00013F8C" w:rsidRDefault="00770E8D" w:rsidP="00013F8C">
      <w:pPr>
        <w:pStyle w:val="Titolo2"/>
      </w:pPr>
      <w:r w:rsidRPr="00013F8C">
        <w:lastRenderedPageBreak/>
        <w:t>SPIN OFF E START UP CON STUDENTIE STUDENTESSE</w:t>
      </w:r>
    </w:p>
    <w:p w14:paraId="10FF36E5" w14:textId="77777777" w:rsidR="00770E8D" w:rsidRDefault="00770E8D" w:rsidP="00770E8D">
      <w:r>
        <w:t>L’Università di Verona incentiva l’autoimprenditorialità accademica tramite la nascita di spin off di personale docente/ricercatore e start up di studenti e studentesse dell’Ateneo. Queste sono imprese ad alto tasso d’innovazione tecnologica che sviluppano i risultati della ricerca per portare sul mercato nuovi prodotti o servizi. L’impresa può partecipare a vario titolo a spin off/start up di studenti e studentesse, ossia come socio, fondatore, o più in generale, come finanziatore o partner.</w:t>
      </w:r>
    </w:p>
    <w:p w14:paraId="03B3448E" w14:textId="77777777" w:rsidR="00770E8D" w:rsidRDefault="00770E8D" w:rsidP="00013F8C">
      <w:pPr>
        <w:pStyle w:val="Titolo3"/>
      </w:pPr>
      <w:r>
        <w:t>VANTAGGI PER LE IMPRESE</w:t>
      </w:r>
    </w:p>
    <w:p w14:paraId="0F59AE04" w14:textId="55824890" w:rsidR="00770E8D" w:rsidRDefault="00770E8D" w:rsidP="0041465B">
      <w:pPr>
        <w:pStyle w:val="Puntoelenco"/>
      </w:pPr>
      <w:r>
        <w:t>Applicazione di conoscenze tecnologiche strategiche</w:t>
      </w:r>
    </w:p>
    <w:p w14:paraId="7E758C4B" w14:textId="6CBC5EC4" w:rsidR="00770E8D" w:rsidRDefault="00770E8D" w:rsidP="0041465B">
      <w:pPr>
        <w:pStyle w:val="Puntoelenco"/>
      </w:pPr>
      <w:r>
        <w:t>Sviluppo e/o innovazione di prodotto/servizio</w:t>
      </w:r>
    </w:p>
    <w:p w14:paraId="7E9405F7" w14:textId="72AA0339" w:rsidR="00770E8D" w:rsidRDefault="00770E8D" w:rsidP="0041465B">
      <w:pPr>
        <w:pStyle w:val="Puntoelenco"/>
      </w:pPr>
      <w:r>
        <w:t>Opportunità di investimento in imprese innovative</w:t>
      </w:r>
    </w:p>
    <w:p w14:paraId="4B32C38A" w14:textId="77777777" w:rsidR="00770E8D" w:rsidRDefault="00770E8D" w:rsidP="00013F8C">
      <w:pPr>
        <w:pStyle w:val="Titolo3"/>
      </w:pPr>
      <w:r>
        <w:t>AGEVOLAZIONI FISCALI</w:t>
      </w:r>
    </w:p>
    <w:p w14:paraId="758467E3" w14:textId="4178E731" w:rsidR="00770E8D" w:rsidRDefault="00770E8D" w:rsidP="0041465B">
      <w:pPr>
        <w:pStyle w:val="Puntoelenco"/>
      </w:pPr>
      <w:r>
        <w:t>Sgravi fiscali per start up innovative. D.L. 34/2020, art. 38, commi 7 e 8</w:t>
      </w:r>
    </w:p>
    <w:p w14:paraId="50632C71" w14:textId="77777777" w:rsidR="00770E8D" w:rsidRDefault="00770E8D" w:rsidP="00013F8C">
      <w:pPr>
        <w:pStyle w:val="Titolo3"/>
      </w:pPr>
      <w:r>
        <w:t>MODALITÀ DI ATTIVAZIONE</w:t>
      </w:r>
    </w:p>
    <w:p w14:paraId="07ACC68B" w14:textId="77777777" w:rsidR="00770E8D" w:rsidRDefault="00770E8D" w:rsidP="00770E8D">
      <w:r>
        <w:t>Le imprese terze possono contribuire alla creazione di spin off partecipando al capitale sociale oppure collaborando con gli spin off in altre forme.</w:t>
      </w:r>
    </w:p>
    <w:p w14:paraId="0A496DA9" w14:textId="77777777" w:rsidR="00770E8D" w:rsidRDefault="00770E8D" w:rsidP="00770E8D">
      <w:r>
        <w:t xml:space="preserve">La domanda di attivazione di spin off o di start up, assieme al business </w:t>
      </w:r>
      <w:proofErr w:type="spellStart"/>
      <w:r>
        <w:t>plan</w:t>
      </w:r>
      <w:proofErr w:type="spellEnd"/>
      <w:r>
        <w:t>, va presentata alla Commissione Spin off e agli organi di Ateneo</w:t>
      </w:r>
    </w:p>
    <w:p w14:paraId="36DA1884" w14:textId="77777777" w:rsidR="00770E8D" w:rsidRDefault="00770E8D" w:rsidP="00013F8C">
      <w:pPr>
        <w:pStyle w:val="Titolo3"/>
      </w:pPr>
      <w:r>
        <w:t>NORMATIVA</w:t>
      </w:r>
    </w:p>
    <w:p w14:paraId="67EB4AF4" w14:textId="79E5CEBE" w:rsidR="00770E8D" w:rsidRDefault="00770E8D" w:rsidP="0041465B">
      <w:pPr>
        <w:pStyle w:val="Puntoelenco"/>
      </w:pPr>
      <w:r>
        <w:t>Legge n. 240 del 30.12.2010</w:t>
      </w:r>
    </w:p>
    <w:p w14:paraId="48A76C06" w14:textId="2DEF8071" w:rsidR="00770E8D" w:rsidRDefault="00770E8D" w:rsidP="0041465B">
      <w:pPr>
        <w:pStyle w:val="Puntoelenco"/>
      </w:pPr>
      <w:r>
        <w:t>Regolamento Spin off DR 5289 del 02.07.2020</w:t>
      </w:r>
    </w:p>
    <w:p w14:paraId="35378C6B" w14:textId="77777777" w:rsidR="00770E8D" w:rsidRDefault="00770E8D" w:rsidP="00013F8C">
      <w:pPr>
        <w:pStyle w:val="Titolo3"/>
      </w:pPr>
      <w:r>
        <w:t>RIFERIMENTO</w:t>
      </w:r>
    </w:p>
    <w:p w14:paraId="2F12B75E" w14:textId="77777777" w:rsidR="00770E8D" w:rsidRDefault="00770E8D" w:rsidP="00770E8D">
      <w:r>
        <w:t>Liaison Office</w:t>
      </w:r>
    </w:p>
    <w:p w14:paraId="7C116A76" w14:textId="77777777" w:rsidR="00770E8D" w:rsidRDefault="00770E8D" w:rsidP="00770E8D">
      <w:r>
        <w:t> </w:t>
      </w:r>
    </w:p>
    <w:p w14:paraId="222BB62E" w14:textId="77777777" w:rsidR="00770E8D" w:rsidRDefault="00770E8D">
      <w:r>
        <w:br w:type="page"/>
      </w:r>
    </w:p>
    <w:p w14:paraId="432E1E7D" w14:textId="56D41B64" w:rsidR="00770E8D" w:rsidRDefault="00770E8D" w:rsidP="00013F8C">
      <w:pPr>
        <w:pStyle w:val="Titolo2"/>
      </w:pPr>
      <w:r>
        <w:lastRenderedPageBreak/>
        <w:t>ASSEGNI DI RICERCA</w:t>
      </w:r>
    </w:p>
    <w:p w14:paraId="5B54715B" w14:textId="77777777" w:rsidR="00770E8D" w:rsidRDefault="00770E8D" w:rsidP="00770E8D">
      <w:r>
        <w:t>L’Università può conferire assegni di ricerca a persone con un curriculum scientifico professionale idoneo allo svolgimento di un programma di ricerca specifico, con la supervisione di un/una responsabile scientifico/a. L’assegnista di ricerca è una figura di elevata professionalità scientifica, individuata mediante un concorso pubblico, che svolge in autonomia operativa l’attività connessa al programma di ricerca oggetto del bando.</w:t>
      </w:r>
    </w:p>
    <w:p w14:paraId="4298F88E" w14:textId="77777777" w:rsidR="00770E8D" w:rsidRDefault="00770E8D" w:rsidP="00013F8C">
      <w:pPr>
        <w:pStyle w:val="Titolo3"/>
      </w:pPr>
      <w:r>
        <w:t>VANTAGGI PER LE IMPRESE</w:t>
      </w:r>
    </w:p>
    <w:p w14:paraId="01844917" w14:textId="0F81CC59" w:rsidR="00770E8D" w:rsidRDefault="00770E8D" w:rsidP="0041465B">
      <w:pPr>
        <w:pStyle w:val="Puntoelenco"/>
      </w:pPr>
      <w:r>
        <w:t xml:space="preserve">Accesso a conoscenze e competenze aggiornate e avanzate attraverso personale altamente qualificato, con un forte contributo all’innovazione aziendale </w:t>
      </w:r>
    </w:p>
    <w:p w14:paraId="4AF4A13D" w14:textId="5E50F727" w:rsidR="00770E8D" w:rsidRDefault="00770E8D" w:rsidP="0041465B">
      <w:pPr>
        <w:pStyle w:val="Puntoelenco"/>
      </w:pPr>
      <w:r>
        <w:t xml:space="preserve">Possibilità di risolvere problemi specifici che richiedono attività di ricerca nel medio periodo </w:t>
      </w:r>
    </w:p>
    <w:p w14:paraId="25DA8F9C" w14:textId="5403B818" w:rsidR="00770E8D" w:rsidRDefault="00770E8D" w:rsidP="0041465B">
      <w:pPr>
        <w:pStyle w:val="Puntoelenco"/>
      </w:pPr>
      <w:r>
        <w:t xml:space="preserve">Consolidamento della collaborazione tra l’azienda e l’Università </w:t>
      </w:r>
    </w:p>
    <w:p w14:paraId="4CC40892" w14:textId="0392B7EE" w:rsidR="00770E8D" w:rsidRDefault="00770E8D" w:rsidP="0041465B">
      <w:pPr>
        <w:pStyle w:val="Puntoelenco"/>
      </w:pPr>
      <w:r>
        <w:t xml:space="preserve">Visibilità sociale </w:t>
      </w:r>
    </w:p>
    <w:p w14:paraId="179913A3" w14:textId="77777777" w:rsidR="00770E8D" w:rsidRDefault="00770E8D" w:rsidP="00013F8C">
      <w:pPr>
        <w:pStyle w:val="Titolo3"/>
      </w:pPr>
      <w:r>
        <w:t>AGEVOLAZIONI FISCALI</w:t>
      </w:r>
    </w:p>
    <w:p w14:paraId="66930331" w14:textId="15FD5663" w:rsidR="00770E8D" w:rsidRDefault="00770E8D" w:rsidP="0041465B">
      <w:pPr>
        <w:pStyle w:val="Puntoelenco"/>
      </w:pPr>
      <w:r>
        <w:t>Deducibilità ed agevolazioni per liberalità</w:t>
      </w:r>
    </w:p>
    <w:p w14:paraId="45817268" w14:textId="77777777" w:rsidR="00770E8D" w:rsidRDefault="00770E8D" w:rsidP="00013F8C">
      <w:pPr>
        <w:pStyle w:val="Titolo3"/>
      </w:pPr>
      <w:r>
        <w:t>MODALITÀ DI ATTIVAZIONE</w:t>
      </w:r>
    </w:p>
    <w:p w14:paraId="120EDDE5" w14:textId="77777777" w:rsidR="00770E8D" w:rsidRDefault="00770E8D" w:rsidP="00770E8D">
      <w:r>
        <w:t>Imprese e soggetti esterni possono finanziare totalmente o parzialmente il costo dell’assegno, tramite un’erogazione liberale o mediante una convenzione con l’Ateneo</w:t>
      </w:r>
    </w:p>
    <w:p w14:paraId="0076617C" w14:textId="77777777" w:rsidR="00770E8D" w:rsidRDefault="00770E8D" w:rsidP="00013F8C">
      <w:pPr>
        <w:pStyle w:val="Titolo3"/>
      </w:pPr>
      <w:r>
        <w:t>DURATA</w:t>
      </w:r>
    </w:p>
    <w:p w14:paraId="58868F43" w14:textId="77777777" w:rsidR="00770E8D" w:rsidRDefault="00770E8D" w:rsidP="00770E8D">
      <w:r>
        <w:t>La durata di un assegno di ricerca è compresa tra dodici e trentasei mesi, con possibilità di rinnovo. Il limite per cui una persona può essere titolare di assegni di ricerca nell’arco della sua esperienza lavorativa è della durata massima di sei anni</w:t>
      </w:r>
    </w:p>
    <w:p w14:paraId="64C32255" w14:textId="77777777" w:rsidR="00770E8D" w:rsidRDefault="00770E8D" w:rsidP="00013F8C">
      <w:pPr>
        <w:pStyle w:val="Titolo3"/>
      </w:pPr>
      <w:r>
        <w:t>NORMATIVA</w:t>
      </w:r>
    </w:p>
    <w:p w14:paraId="2D090DCB" w14:textId="44A176CE" w:rsidR="00770E8D" w:rsidRDefault="00770E8D" w:rsidP="0041465B">
      <w:pPr>
        <w:pStyle w:val="Puntoelenco"/>
      </w:pPr>
      <w:r>
        <w:t xml:space="preserve">Legge n. 240 del 30.12.2010, art. 22 </w:t>
      </w:r>
    </w:p>
    <w:p w14:paraId="4F62E256" w14:textId="412E1BB5" w:rsidR="00770E8D" w:rsidRDefault="00770E8D" w:rsidP="0041465B">
      <w:pPr>
        <w:pStyle w:val="Puntoelenco"/>
      </w:pPr>
      <w:r>
        <w:t>Regolamento Università di Verona DR 595 del 21.03.2011</w:t>
      </w:r>
    </w:p>
    <w:p w14:paraId="3ABB3DDE" w14:textId="77777777" w:rsidR="00770E8D" w:rsidRDefault="00770E8D" w:rsidP="00013F8C">
      <w:pPr>
        <w:pStyle w:val="Titolo3"/>
      </w:pPr>
      <w:r>
        <w:t>RIFERIMENTO</w:t>
      </w:r>
    </w:p>
    <w:p w14:paraId="3C414816" w14:textId="77777777" w:rsidR="00770E8D" w:rsidRDefault="00770E8D" w:rsidP="00770E8D">
      <w:r>
        <w:t>Ufficio Dottorati di Ricerca</w:t>
      </w:r>
    </w:p>
    <w:p w14:paraId="2F77570C" w14:textId="77777777" w:rsidR="00770E8D" w:rsidRDefault="00770E8D" w:rsidP="00770E8D">
      <w:r>
        <w:t> </w:t>
      </w:r>
    </w:p>
    <w:p w14:paraId="3D8EDFD1" w14:textId="77777777" w:rsidR="00770E8D" w:rsidRDefault="00770E8D">
      <w:r>
        <w:br w:type="page"/>
      </w:r>
    </w:p>
    <w:p w14:paraId="10534626" w14:textId="01F8B6F1" w:rsidR="00770E8D" w:rsidRDefault="00770E8D" w:rsidP="00013F8C">
      <w:pPr>
        <w:pStyle w:val="Titolo2"/>
      </w:pPr>
      <w:r>
        <w:lastRenderedPageBreak/>
        <w:t>BORSE DI RICERCA</w:t>
      </w:r>
    </w:p>
    <w:p w14:paraId="65B6CAA9" w14:textId="77777777" w:rsidR="00770E8D" w:rsidRDefault="00770E8D" w:rsidP="00770E8D">
      <w:r>
        <w:t>L’Università può erogare borse per lo svolgimento di progetti di ricerca a persone laureate, italiane o straniere, in possesso almeno di laurea triennale o di analogo titolo di studio straniero. Si attivano mediante bando di selezione pubblica in base a valutazione di titoli ed eventuale colloquio. L’attività del/della borsista si svolge nell’ambito del programma definito dal bando, sotto la supervisione di un/una responsabile scientifico/a individuato tra il personale docente e ricercatore dell’Università.</w:t>
      </w:r>
    </w:p>
    <w:p w14:paraId="2D7306FB" w14:textId="77777777" w:rsidR="00770E8D" w:rsidRDefault="00770E8D" w:rsidP="00013F8C">
      <w:pPr>
        <w:pStyle w:val="Titolo3"/>
      </w:pPr>
      <w:r>
        <w:t>VANTAGGI PER LE IMPRESE</w:t>
      </w:r>
    </w:p>
    <w:p w14:paraId="30DF94B1" w14:textId="143E9F4B" w:rsidR="00770E8D" w:rsidRPr="0041465B" w:rsidRDefault="00770E8D" w:rsidP="0041465B">
      <w:pPr>
        <w:pStyle w:val="Puntoelenco"/>
      </w:pPr>
      <w:r w:rsidRPr="0041465B">
        <w:t xml:space="preserve">Possibilità di risolvere singole problematiche che richiedono attività di ricerca circoscritta e definita da bando nel breve periodo </w:t>
      </w:r>
    </w:p>
    <w:p w14:paraId="0C58050C" w14:textId="14991397" w:rsidR="00770E8D" w:rsidRPr="0041465B" w:rsidRDefault="00770E8D" w:rsidP="0041465B">
      <w:pPr>
        <w:pStyle w:val="Puntoelenco"/>
      </w:pPr>
      <w:r w:rsidRPr="0041465B">
        <w:t xml:space="preserve">Accesso a conoscenze aggiornate </w:t>
      </w:r>
    </w:p>
    <w:p w14:paraId="27C6606C" w14:textId="0ED568B1" w:rsidR="00770E8D" w:rsidRPr="0041465B" w:rsidRDefault="00770E8D" w:rsidP="0041465B">
      <w:pPr>
        <w:pStyle w:val="Puntoelenco"/>
      </w:pPr>
      <w:r w:rsidRPr="0041465B">
        <w:t xml:space="preserve">Opportunità di rafforzare i legami con il mondo accademico </w:t>
      </w:r>
    </w:p>
    <w:p w14:paraId="006DD885" w14:textId="4B72B964" w:rsidR="00770E8D" w:rsidRPr="0041465B" w:rsidRDefault="00770E8D" w:rsidP="0041465B">
      <w:pPr>
        <w:pStyle w:val="Puntoelenco"/>
      </w:pPr>
      <w:r w:rsidRPr="0041465B">
        <w:t xml:space="preserve">Possibilità di partecipare, con un proprio rappresentante, alla commissione giudicatrice del concorso per l’assegnazione della borsa </w:t>
      </w:r>
    </w:p>
    <w:p w14:paraId="11180C29" w14:textId="13173CF8" w:rsidR="00770E8D" w:rsidRPr="0041465B" w:rsidRDefault="00770E8D" w:rsidP="0041465B">
      <w:pPr>
        <w:pStyle w:val="Puntoelenco"/>
      </w:pPr>
      <w:r w:rsidRPr="0041465B">
        <w:t>Visibilità sociale per l’impresa</w:t>
      </w:r>
    </w:p>
    <w:p w14:paraId="5C316FA9" w14:textId="77777777" w:rsidR="00770E8D" w:rsidRDefault="00770E8D" w:rsidP="00013F8C">
      <w:pPr>
        <w:pStyle w:val="Titolo3"/>
      </w:pPr>
      <w:r>
        <w:t>AGEVOLAZIONI FISCALI</w:t>
      </w:r>
    </w:p>
    <w:p w14:paraId="6F958BD8" w14:textId="73150496" w:rsidR="00770E8D" w:rsidRDefault="00770E8D" w:rsidP="00437F06">
      <w:pPr>
        <w:pStyle w:val="Puntoelenco"/>
      </w:pPr>
      <w:r>
        <w:t>Deducibilità ed agevolazioni per liberalità</w:t>
      </w:r>
    </w:p>
    <w:p w14:paraId="6F48A51C" w14:textId="77777777" w:rsidR="00770E8D" w:rsidRDefault="00770E8D" w:rsidP="00013F8C">
      <w:pPr>
        <w:pStyle w:val="Titolo3"/>
      </w:pPr>
      <w:r>
        <w:t>MODALITÀ DI ATTIVAZIONE</w:t>
      </w:r>
    </w:p>
    <w:p w14:paraId="50F30C12" w14:textId="77777777" w:rsidR="00770E8D" w:rsidRDefault="00770E8D" w:rsidP="00770E8D">
      <w:r>
        <w:t>Le imprese e i soggetti esterni possono finanziare borse di ricerca, tramite un’erogazione liberale finalizzata o mediante una convenzione con l’Ateneo</w:t>
      </w:r>
    </w:p>
    <w:p w14:paraId="32EE8F41" w14:textId="77777777" w:rsidR="00770E8D" w:rsidRDefault="00770E8D" w:rsidP="00013F8C">
      <w:pPr>
        <w:pStyle w:val="Titolo3"/>
      </w:pPr>
      <w:r>
        <w:t>DURATA</w:t>
      </w:r>
    </w:p>
    <w:p w14:paraId="04FA7D6B" w14:textId="77777777" w:rsidR="00770E8D" w:rsidRDefault="00770E8D" w:rsidP="00770E8D">
      <w:r>
        <w:t>La durata della borsa di ricerca è indicativamente non superiore a dodici mesi con possibilità di rinnovo per un periodo al massimo pari a quello per cui la borsa è stata inizialmente attribuita</w:t>
      </w:r>
    </w:p>
    <w:p w14:paraId="5372ECFA" w14:textId="77777777" w:rsidR="00770E8D" w:rsidRDefault="00770E8D" w:rsidP="00013F8C">
      <w:pPr>
        <w:pStyle w:val="Titolo3"/>
      </w:pPr>
      <w:r>
        <w:t>NORMATIVA</w:t>
      </w:r>
    </w:p>
    <w:p w14:paraId="7AFA0C95" w14:textId="1DF9FA86" w:rsidR="00770E8D" w:rsidRDefault="00770E8D" w:rsidP="0041465B">
      <w:pPr>
        <w:pStyle w:val="Puntoelenco"/>
      </w:pPr>
      <w:r>
        <w:t xml:space="preserve">Legge n. 240 del 30.12.2010 </w:t>
      </w:r>
    </w:p>
    <w:p w14:paraId="65C1A132" w14:textId="15DB2058" w:rsidR="00770E8D" w:rsidRDefault="00770E8D" w:rsidP="0041465B">
      <w:pPr>
        <w:pStyle w:val="Puntoelenco"/>
      </w:pPr>
      <w:r>
        <w:t>Regolamento Università di Verona DR 2370 del 29.11.2004</w:t>
      </w:r>
    </w:p>
    <w:p w14:paraId="6EF51291" w14:textId="77777777" w:rsidR="00770E8D" w:rsidRDefault="00770E8D" w:rsidP="00013F8C">
      <w:pPr>
        <w:pStyle w:val="Titolo3"/>
      </w:pPr>
      <w:r>
        <w:t>RIFERIMENTO</w:t>
      </w:r>
    </w:p>
    <w:p w14:paraId="4AD63631" w14:textId="77777777" w:rsidR="00770E8D" w:rsidRDefault="00770E8D" w:rsidP="00770E8D">
      <w:r>
        <w:t>Ufficio Dottorati di Ricerca</w:t>
      </w:r>
    </w:p>
    <w:p w14:paraId="16E9D6D6" w14:textId="77777777" w:rsidR="00770E8D" w:rsidRDefault="00770E8D" w:rsidP="00770E8D">
      <w:r>
        <w:t> </w:t>
      </w:r>
    </w:p>
    <w:p w14:paraId="38E98392" w14:textId="77777777" w:rsidR="00770E8D" w:rsidRDefault="00770E8D">
      <w:r>
        <w:br w:type="page"/>
      </w:r>
    </w:p>
    <w:p w14:paraId="23E38BD6" w14:textId="2D2D2B79" w:rsidR="00770E8D" w:rsidRDefault="00770E8D" w:rsidP="00013F8C">
      <w:pPr>
        <w:pStyle w:val="Titolo2"/>
      </w:pPr>
      <w:r>
        <w:lastRenderedPageBreak/>
        <w:t>DOTTORATI DI RICERCA</w:t>
      </w:r>
    </w:p>
    <w:p w14:paraId="6B785E24" w14:textId="77777777" w:rsidR="00770E8D" w:rsidRDefault="00770E8D" w:rsidP="00770E8D">
      <w:r>
        <w:t>Il dottorato di ricerca è un percorso formativo post laurea il cui obiettivo è l’acquisizione di competenze, disciplinari e interdisciplinari, per la ricerca scientifica avanzata. Tali competenze possono essere spese in Università o in centri di ricerca pubblici e privati, ma anche in istituzioni, aziende, fondazioni o enti di varia natura che si occupino di ricerca applicata, di disseminazione delle conoscenze scientifiche, di valorizzazione del patrimonio culturale, di organizzazione della ricerca sul territorio o nel contesto internazionale. La formazione dottorale consente, inoltre, un approccio più innovativo e consapevole anche nell’esercizio delle professioni.</w:t>
      </w:r>
    </w:p>
    <w:p w14:paraId="0A929304" w14:textId="77777777" w:rsidR="00770E8D" w:rsidRDefault="00770E8D" w:rsidP="00013F8C">
      <w:pPr>
        <w:pStyle w:val="Titolo3"/>
      </w:pPr>
      <w:r>
        <w:t>VANTAGGI PER LE IMPRESE</w:t>
      </w:r>
    </w:p>
    <w:p w14:paraId="341EB6DA" w14:textId="41820ABC" w:rsidR="00770E8D" w:rsidRPr="0041465B" w:rsidRDefault="00770E8D" w:rsidP="0041465B">
      <w:pPr>
        <w:pStyle w:val="Puntoelenco"/>
      </w:pPr>
      <w:r w:rsidRPr="0041465B">
        <w:t xml:space="preserve">Collaborazione con l’Università per attivare specifici percorsi di dottorato </w:t>
      </w:r>
    </w:p>
    <w:p w14:paraId="19599E17" w14:textId="39ED7525" w:rsidR="00770E8D" w:rsidRPr="0041465B" w:rsidRDefault="00770E8D" w:rsidP="0041465B">
      <w:pPr>
        <w:pStyle w:val="Puntoelenco"/>
      </w:pPr>
      <w:r w:rsidRPr="0041465B">
        <w:t xml:space="preserve">Definizione congiunta del percorso formativo, sviluppabile anche in azienda </w:t>
      </w:r>
    </w:p>
    <w:p w14:paraId="1E12AA7B" w14:textId="764B3C08" w:rsidR="00770E8D" w:rsidRPr="0041465B" w:rsidRDefault="00770E8D" w:rsidP="0041465B">
      <w:pPr>
        <w:pStyle w:val="Puntoelenco"/>
      </w:pPr>
      <w:r w:rsidRPr="0041465B">
        <w:t xml:space="preserve">Formazione di profili altamente qualificati </w:t>
      </w:r>
    </w:p>
    <w:p w14:paraId="4D22E728" w14:textId="1BD8E6B4" w:rsidR="00770E8D" w:rsidRPr="0041465B" w:rsidRDefault="00770E8D" w:rsidP="0041465B">
      <w:pPr>
        <w:pStyle w:val="Puntoelenco"/>
      </w:pPr>
      <w:r w:rsidRPr="0041465B">
        <w:t xml:space="preserve">Risoluzione di problematiche complesse che richiedono attività di ricerca nel medio-lungo periodo </w:t>
      </w:r>
    </w:p>
    <w:p w14:paraId="4F0AC565" w14:textId="6D592D42" w:rsidR="00770E8D" w:rsidRPr="0041465B" w:rsidRDefault="00770E8D" w:rsidP="0041465B">
      <w:pPr>
        <w:pStyle w:val="Puntoelenco"/>
      </w:pPr>
      <w:r w:rsidRPr="0041465B">
        <w:t xml:space="preserve">Accesso a competenze e capacità di personale altamente qualificato per un eventuale futuro professionale nell’impresa </w:t>
      </w:r>
    </w:p>
    <w:p w14:paraId="6B4381B0" w14:textId="5E51AC97" w:rsidR="00770E8D" w:rsidRPr="0041465B" w:rsidRDefault="00770E8D" w:rsidP="0041465B">
      <w:pPr>
        <w:pStyle w:val="Puntoelenco"/>
      </w:pPr>
      <w:r w:rsidRPr="0041465B">
        <w:t xml:space="preserve">Possibilità di ospitare attività di ricerca direttamente in azienda </w:t>
      </w:r>
    </w:p>
    <w:p w14:paraId="17D34084" w14:textId="47CA7C33" w:rsidR="00770E8D" w:rsidRPr="0041465B" w:rsidRDefault="00770E8D" w:rsidP="0041465B">
      <w:pPr>
        <w:pStyle w:val="Puntoelenco"/>
      </w:pPr>
      <w:r w:rsidRPr="0041465B">
        <w:t>Visibilità sociale</w:t>
      </w:r>
    </w:p>
    <w:p w14:paraId="330FBF38" w14:textId="77777777" w:rsidR="00770E8D" w:rsidRDefault="00770E8D" w:rsidP="00013F8C">
      <w:pPr>
        <w:pStyle w:val="Titolo3"/>
      </w:pPr>
      <w:r>
        <w:t>AGEVOLAZIONI FISCALI</w:t>
      </w:r>
    </w:p>
    <w:p w14:paraId="7E27A66D" w14:textId="77777777" w:rsidR="00770E8D" w:rsidRDefault="00770E8D" w:rsidP="00770E8D">
      <w:r>
        <w:t>Deducibilità ed agevolazioni per liberalità</w:t>
      </w:r>
    </w:p>
    <w:p w14:paraId="7943C21F" w14:textId="77777777" w:rsidR="00770E8D" w:rsidRDefault="00770E8D" w:rsidP="00013F8C">
      <w:pPr>
        <w:pStyle w:val="Titolo3"/>
      </w:pPr>
      <w:r>
        <w:t>MODALITÀ DI ATTIVAZIONE</w:t>
      </w:r>
    </w:p>
    <w:p w14:paraId="377B07B6" w14:textId="77777777" w:rsidR="00770E8D" w:rsidRDefault="00770E8D" w:rsidP="00770E8D">
      <w:r>
        <w:t>Imprese e soggetti esterni possono coprire il costo di una borsa di dottorato, tramite un’erogazione liberale o mediante una convenzione con l’Ateneo</w:t>
      </w:r>
    </w:p>
    <w:p w14:paraId="0B58BCB6" w14:textId="77777777" w:rsidR="00770E8D" w:rsidRDefault="00770E8D" w:rsidP="00013F8C">
      <w:pPr>
        <w:pStyle w:val="Titolo3"/>
      </w:pPr>
      <w:r>
        <w:t>DURATA</w:t>
      </w:r>
    </w:p>
    <w:p w14:paraId="664C546D" w14:textId="77777777" w:rsidR="00770E8D" w:rsidRDefault="00770E8D" w:rsidP="00770E8D">
      <w:r>
        <w:t>La durata del percorso formativo è di almeno tre anni</w:t>
      </w:r>
    </w:p>
    <w:p w14:paraId="25F64F92" w14:textId="77777777" w:rsidR="00770E8D" w:rsidRDefault="00770E8D" w:rsidP="00013F8C">
      <w:pPr>
        <w:pStyle w:val="Titolo3"/>
      </w:pPr>
      <w:r>
        <w:t>NORMATIVA</w:t>
      </w:r>
    </w:p>
    <w:p w14:paraId="75575FB7" w14:textId="79E8ACCD" w:rsidR="00770E8D" w:rsidRDefault="00770E8D" w:rsidP="0041465B">
      <w:pPr>
        <w:pStyle w:val="Puntoelenco"/>
      </w:pPr>
      <w:r>
        <w:t xml:space="preserve">Legge n. 210 del 03.07.1998 - Legge n. 240 del 30.12.2010, art. 19 </w:t>
      </w:r>
    </w:p>
    <w:p w14:paraId="33FFDADB" w14:textId="4265BCA2" w:rsidR="00770E8D" w:rsidRDefault="00770E8D" w:rsidP="0041465B">
      <w:pPr>
        <w:pStyle w:val="Puntoelenco"/>
      </w:pPr>
      <w:r>
        <w:t xml:space="preserve">DM n. 45 del 08.02.2013 </w:t>
      </w:r>
    </w:p>
    <w:p w14:paraId="797BC245" w14:textId="7CD481BD" w:rsidR="00770E8D" w:rsidRDefault="00770E8D" w:rsidP="0041465B">
      <w:pPr>
        <w:pStyle w:val="Puntoelenco"/>
      </w:pPr>
      <w:r>
        <w:t xml:space="preserve">Regolamento Università di Verona DR 2627 del 26.03.2021 </w:t>
      </w:r>
    </w:p>
    <w:p w14:paraId="1BD8D28C" w14:textId="015118C2" w:rsidR="00770E8D" w:rsidRDefault="00770E8D" w:rsidP="0041465B">
      <w:pPr>
        <w:pStyle w:val="Puntoelenco"/>
      </w:pPr>
      <w:r>
        <w:t>Regolamento Università di Verona DR 2629 del 26.03.2021</w:t>
      </w:r>
    </w:p>
    <w:p w14:paraId="13B8D532" w14:textId="77777777" w:rsidR="00770E8D" w:rsidRDefault="00770E8D" w:rsidP="00013F8C">
      <w:pPr>
        <w:pStyle w:val="Titolo3"/>
      </w:pPr>
      <w:r>
        <w:t>RIFERIMENTO</w:t>
      </w:r>
    </w:p>
    <w:p w14:paraId="34D78D65" w14:textId="77777777" w:rsidR="00770E8D" w:rsidRDefault="00770E8D" w:rsidP="00770E8D">
      <w:r>
        <w:t>Ufficio Dottorati di Ricerca</w:t>
      </w:r>
    </w:p>
    <w:p w14:paraId="4C58384D" w14:textId="77777777" w:rsidR="00770E8D" w:rsidRDefault="00770E8D" w:rsidP="00770E8D">
      <w:r>
        <w:t> </w:t>
      </w:r>
    </w:p>
    <w:p w14:paraId="6D7778F0" w14:textId="77777777" w:rsidR="00770E8D" w:rsidRDefault="00770E8D">
      <w:r>
        <w:br w:type="page"/>
      </w:r>
    </w:p>
    <w:p w14:paraId="6F74CF4A" w14:textId="71693DDF" w:rsidR="00770E8D" w:rsidRDefault="00770E8D" w:rsidP="00013F8C">
      <w:pPr>
        <w:pStyle w:val="Titolo2"/>
      </w:pPr>
      <w:r>
        <w:lastRenderedPageBreak/>
        <w:t>DOTTORATI INNOVATIVI</w:t>
      </w:r>
    </w:p>
    <w:p w14:paraId="6F414A9B" w14:textId="77777777" w:rsidR="00770E8D" w:rsidRDefault="00770E8D" w:rsidP="00770E8D">
      <w:r>
        <w:t>Il Dottorato industriale/intersettoriale prevede una nuova modalità di collaborazione tra Università e mondo del lavoro, fornendo alle imprese e agli enti una risposta alle esigenze di competenze ad elevato livello di specializzazione. Questo tipo di collaborazione consente di formare, rafforzandone le competenze, i/le propri/e dipendenti già impegnati/e nello svolgimento di attività di elevata qualificazione, attraverso la frequenza di un corso di studi di terzo livello. Per imprese ed enti è inoltre possibile attivare collaborazioni scientifiche o percorsi di apprendistato di alta formazione nell’ambito di un corso di dottorato con l’Ateneo.</w:t>
      </w:r>
    </w:p>
    <w:p w14:paraId="1C269B33" w14:textId="77777777" w:rsidR="00770E8D" w:rsidRDefault="00770E8D" w:rsidP="00013F8C">
      <w:pPr>
        <w:pStyle w:val="Titolo3"/>
      </w:pPr>
      <w:r>
        <w:t>VANTAGGI PER LE IMPRESE</w:t>
      </w:r>
    </w:p>
    <w:p w14:paraId="101CC31B" w14:textId="335586A7" w:rsidR="00770E8D" w:rsidRPr="0041465B" w:rsidRDefault="00770E8D" w:rsidP="0041465B">
      <w:pPr>
        <w:pStyle w:val="Puntoelenco"/>
      </w:pPr>
      <w:r w:rsidRPr="0041465B">
        <w:t xml:space="preserve">Collaborazione con l’Università per attivare specifici percorsi di dottorato industriale </w:t>
      </w:r>
    </w:p>
    <w:p w14:paraId="3A75928A" w14:textId="51FDC697" w:rsidR="00770E8D" w:rsidRPr="0041465B" w:rsidRDefault="00770E8D" w:rsidP="0041465B">
      <w:pPr>
        <w:pStyle w:val="Puntoelenco"/>
      </w:pPr>
      <w:r w:rsidRPr="0041465B">
        <w:t xml:space="preserve">Definizione congiunta del percorso formativo, sviluppabile anche in azienda </w:t>
      </w:r>
    </w:p>
    <w:p w14:paraId="4B8386A8" w14:textId="69D4043D" w:rsidR="00770E8D" w:rsidRPr="0041465B" w:rsidRDefault="00770E8D" w:rsidP="0041465B">
      <w:pPr>
        <w:pStyle w:val="Puntoelenco"/>
      </w:pPr>
      <w:r w:rsidRPr="0041465B">
        <w:t xml:space="preserve">Formazione del proprio personale con un percorso altamente qualificato </w:t>
      </w:r>
    </w:p>
    <w:p w14:paraId="0FD1C2A9" w14:textId="2BE4DFD4" w:rsidR="00770E8D" w:rsidRPr="0041465B" w:rsidRDefault="00770E8D" w:rsidP="0041465B">
      <w:pPr>
        <w:pStyle w:val="Puntoelenco"/>
      </w:pPr>
      <w:r w:rsidRPr="0041465B">
        <w:t xml:space="preserve">Risoluzione di problematiche complesse che richiedono attività di ricerca nel medio-lungo periodo </w:t>
      </w:r>
    </w:p>
    <w:p w14:paraId="24014ED9" w14:textId="77777777" w:rsidR="00770E8D" w:rsidRDefault="00770E8D" w:rsidP="00013F8C">
      <w:pPr>
        <w:pStyle w:val="Titolo3"/>
      </w:pPr>
      <w:r>
        <w:t>AGEVOLAZIONI FISCALI</w:t>
      </w:r>
    </w:p>
    <w:p w14:paraId="613AA156" w14:textId="77777777" w:rsidR="00770E8D" w:rsidRDefault="00770E8D" w:rsidP="00770E8D">
      <w:r>
        <w:t>Deducibilità ed agevolazioni per liberalità</w:t>
      </w:r>
    </w:p>
    <w:p w14:paraId="09ACAC22" w14:textId="77777777" w:rsidR="00770E8D" w:rsidRDefault="00770E8D" w:rsidP="00013F8C">
      <w:pPr>
        <w:pStyle w:val="Titolo3"/>
      </w:pPr>
      <w:r>
        <w:t>MODALITÀ DI ATTIVAZIONE</w:t>
      </w:r>
    </w:p>
    <w:p w14:paraId="40544EA5" w14:textId="77777777" w:rsidR="00770E8D" w:rsidRDefault="00770E8D" w:rsidP="00770E8D">
      <w:r>
        <w:t>Le imprese interessate devono definire il programma di ricerca del dottorato assieme all’Università e formalizzarne il finanziamento, mediante una convenzione</w:t>
      </w:r>
    </w:p>
    <w:p w14:paraId="7F3C1A60" w14:textId="77777777" w:rsidR="00770E8D" w:rsidRDefault="00770E8D" w:rsidP="00013F8C">
      <w:pPr>
        <w:pStyle w:val="Titolo3"/>
      </w:pPr>
      <w:r>
        <w:t>DURATA</w:t>
      </w:r>
    </w:p>
    <w:p w14:paraId="3FCCC531" w14:textId="77777777" w:rsidR="00770E8D" w:rsidRDefault="00770E8D" w:rsidP="00770E8D">
      <w:r>
        <w:t>La durata del percorso formativo è di almeno tre anni</w:t>
      </w:r>
    </w:p>
    <w:p w14:paraId="3296CCA1" w14:textId="77777777" w:rsidR="00770E8D" w:rsidRDefault="00770E8D" w:rsidP="00013F8C">
      <w:pPr>
        <w:pStyle w:val="Titolo3"/>
      </w:pPr>
      <w:r>
        <w:t>NORMATIVA</w:t>
      </w:r>
    </w:p>
    <w:p w14:paraId="5E3503E5" w14:textId="2330AA9A" w:rsidR="00770E8D" w:rsidRDefault="00770E8D" w:rsidP="0041465B">
      <w:pPr>
        <w:pStyle w:val="Puntoelenco"/>
      </w:pPr>
      <w:r>
        <w:t xml:space="preserve">Legge n. 210 del 03.07.1998 - Legge n. 240 del 30.12.2010, art. 19 </w:t>
      </w:r>
    </w:p>
    <w:p w14:paraId="32E34601" w14:textId="0E4837BD" w:rsidR="00770E8D" w:rsidRDefault="00770E8D" w:rsidP="0041465B">
      <w:pPr>
        <w:pStyle w:val="Puntoelenco"/>
      </w:pPr>
      <w:r>
        <w:t xml:space="preserve">DM n. 45 del 08.02.2013 </w:t>
      </w:r>
    </w:p>
    <w:p w14:paraId="540157B9" w14:textId="1368DDD1" w:rsidR="00770E8D" w:rsidRDefault="00770E8D" w:rsidP="0041465B">
      <w:pPr>
        <w:pStyle w:val="Puntoelenco"/>
      </w:pPr>
      <w:r>
        <w:t xml:space="preserve">Regolamento Università di Verona DR 2627 del 26.03.2021 </w:t>
      </w:r>
    </w:p>
    <w:p w14:paraId="528F395C" w14:textId="686C64B7" w:rsidR="00770E8D" w:rsidRDefault="00770E8D" w:rsidP="0041465B">
      <w:pPr>
        <w:pStyle w:val="Puntoelenco"/>
      </w:pPr>
      <w:r>
        <w:t>Regolamento Università di Verona DR 2629 del 26.03.2021</w:t>
      </w:r>
    </w:p>
    <w:p w14:paraId="7FBB05C8" w14:textId="77777777" w:rsidR="00770E8D" w:rsidRDefault="00770E8D" w:rsidP="00013F8C">
      <w:pPr>
        <w:pStyle w:val="Titolo3"/>
      </w:pPr>
      <w:r>
        <w:t>RIFERIMENTO</w:t>
      </w:r>
    </w:p>
    <w:p w14:paraId="44D9D074" w14:textId="77777777" w:rsidR="00770E8D" w:rsidRDefault="00770E8D" w:rsidP="00770E8D">
      <w:r>
        <w:t>Ufficio Dottorati di Ricerca</w:t>
      </w:r>
    </w:p>
    <w:p w14:paraId="731EC349" w14:textId="77777777" w:rsidR="00770E8D" w:rsidRDefault="00770E8D" w:rsidP="00770E8D">
      <w:r>
        <w:t> </w:t>
      </w:r>
    </w:p>
    <w:p w14:paraId="6D11D6CD" w14:textId="77777777" w:rsidR="00770E8D" w:rsidRDefault="00770E8D">
      <w:r>
        <w:br w:type="page"/>
      </w:r>
    </w:p>
    <w:p w14:paraId="7E36BCDB" w14:textId="1B6782CE" w:rsidR="00770E8D" w:rsidRDefault="00770E8D" w:rsidP="00013F8C">
      <w:pPr>
        <w:pStyle w:val="Titolo2"/>
      </w:pPr>
      <w:r>
        <w:lastRenderedPageBreak/>
        <w:t>TIROCINI CURRICULARI</w:t>
      </w:r>
    </w:p>
    <w:p w14:paraId="14F808C9" w14:textId="77777777" w:rsidR="00770E8D" w:rsidRDefault="00770E8D" w:rsidP="00770E8D">
      <w:r>
        <w:t>Lo stage permette di sperimentare e approfondire on the job le conoscenze acquisite durante il percorso universitario, di ottenere crediti formativi necessari al conseguimento del titolo, di conoscere le figure professionali richieste nei diversi contesti lavorativi e di acquisire specifiche competenze professionali, favorendo le possibilità di inserimento nel mondo del lavoro. Destinatari del servizio sono studenti e studentesse dell’Ateneo di Verona.</w:t>
      </w:r>
    </w:p>
    <w:p w14:paraId="6118F076" w14:textId="77777777" w:rsidR="00770E8D" w:rsidRDefault="00770E8D" w:rsidP="00013F8C">
      <w:pPr>
        <w:pStyle w:val="Titolo3"/>
      </w:pPr>
      <w:r>
        <w:t>VANTAGGI PER LE IMPRESE</w:t>
      </w:r>
    </w:p>
    <w:p w14:paraId="14CDD987" w14:textId="1CE9BC19" w:rsidR="00770E8D" w:rsidRPr="0041465B" w:rsidRDefault="00770E8D" w:rsidP="0041465B">
      <w:pPr>
        <w:pStyle w:val="Puntoelenco"/>
      </w:pPr>
      <w:r w:rsidRPr="0041465B">
        <w:t>Pubblicazione di offerte di tirocinio per selezionare il candidato/a ricercato/a</w:t>
      </w:r>
    </w:p>
    <w:p w14:paraId="381ED0C8" w14:textId="633A764A" w:rsidR="00770E8D" w:rsidRPr="0041465B" w:rsidRDefault="00770E8D" w:rsidP="0041465B">
      <w:pPr>
        <w:pStyle w:val="Puntoelenco"/>
      </w:pPr>
      <w:r w:rsidRPr="0041465B">
        <w:t>Attivazione gratuita del tirocinio</w:t>
      </w:r>
    </w:p>
    <w:p w14:paraId="113C601A" w14:textId="2DC723C8" w:rsidR="00770E8D" w:rsidRPr="0041465B" w:rsidRDefault="00770E8D" w:rsidP="0041465B">
      <w:pPr>
        <w:pStyle w:val="Puntoelenco"/>
      </w:pPr>
      <w:r w:rsidRPr="0041465B">
        <w:t>Coperture assicurative garantite dall’Ateneo</w:t>
      </w:r>
    </w:p>
    <w:p w14:paraId="543F77F2" w14:textId="45C9CB1B" w:rsidR="00770E8D" w:rsidRPr="0041465B" w:rsidRDefault="00770E8D" w:rsidP="0041465B">
      <w:pPr>
        <w:pStyle w:val="Puntoelenco"/>
      </w:pPr>
      <w:r w:rsidRPr="0041465B">
        <w:t>Acquisizione del contributo fattivo di nuove risorse con competenze scientifiche aggiornate per introdurre innovazione nei processi aziendali</w:t>
      </w:r>
    </w:p>
    <w:p w14:paraId="12715998" w14:textId="77777777" w:rsidR="00770E8D" w:rsidRDefault="00770E8D" w:rsidP="00013F8C">
      <w:pPr>
        <w:pStyle w:val="Titolo3"/>
      </w:pPr>
      <w:r>
        <w:t>AGEVOLAZIONI PER INSERIMENTO LAVORATIVO</w:t>
      </w:r>
    </w:p>
    <w:p w14:paraId="2186E593" w14:textId="77777777" w:rsidR="00770E8D" w:rsidRDefault="00770E8D" w:rsidP="00770E8D">
      <w:r>
        <w:t>Possibilità di conoscere e valutare una risorsa da inserire nell’organizzazione avendo possibilità di formarla secondo le proprie esigenze</w:t>
      </w:r>
    </w:p>
    <w:p w14:paraId="6822D1B4" w14:textId="77777777" w:rsidR="00770E8D" w:rsidRDefault="00770E8D" w:rsidP="00013F8C">
      <w:pPr>
        <w:pStyle w:val="Titolo3"/>
      </w:pPr>
      <w:r>
        <w:t>MODALITÀ DI ATTIVAZIONE</w:t>
      </w:r>
    </w:p>
    <w:p w14:paraId="1AD3D549" w14:textId="77777777" w:rsidR="00770E8D" w:rsidRDefault="00770E8D" w:rsidP="00770E8D">
      <w:r>
        <w:t>Tramite il portale web dedicato l’azienda può accreditarsi, inserire le offerte di stage, visualizzare le candidature ricevute e selezionare i profili di candidati/e idonei/e, gestendo interamente on line le operazioni necessarie per la attivazione dell’esperienza dalla stipula della convenzione e stesura del progetto formativo, fino alla conclusione e valutazione finale dello stage</w:t>
      </w:r>
    </w:p>
    <w:p w14:paraId="59514579" w14:textId="77777777" w:rsidR="00770E8D" w:rsidRDefault="00770E8D" w:rsidP="00013F8C">
      <w:pPr>
        <w:pStyle w:val="Titolo3"/>
      </w:pPr>
      <w:r>
        <w:t>DURATA</w:t>
      </w:r>
    </w:p>
    <w:p w14:paraId="1DE31DBB" w14:textId="77777777" w:rsidR="00770E8D" w:rsidRDefault="00770E8D" w:rsidP="00770E8D">
      <w:r>
        <w:t>Massimo dodici mesi all’interno della stessa azienda ospitante</w:t>
      </w:r>
    </w:p>
    <w:p w14:paraId="4FE9B056" w14:textId="77777777" w:rsidR="00770E8D" w:rsidRDefault="00770E8D" w:rsidP="00013F8C">
      <w:pPr>
        <w:pStyle w:val="Titolo3"/>
      </w:pPr>
      <w:r>
        <w:t>NORMATIVA</w:t>
      </w:r>
    </w:p>
    <w:p w14:paraId="531EA969" w14:textId="77777777" w:rsidR="00770E8D" w:rsidRDefault="00770E8D" w:rsidP="00770E8D">
      <w:r>
        <w:t>Regolamento Università di Verona DM 142 del 25.03.1998</w:t>
      </w:r>
    </w:p>
    <w:p w14:paraId="2EE3AEB9" w14:textId="77777777" w:rsidR="00770E8D" w:rsidRDefault="00770E8D" w:rsidP="00013F8C">
      <w:pPr>
        <w:pStyle w:val="Titolo3"/>
      </w:pPr>
      <w:r>
        <w:t>RIFERIMENTO</w:t>
      </w:r>
    </w:p>
    <w:p w14:paraId="6FB2AB12" w14:textId="77777777" w:rsidR="00770E8D" w:rsidRDefault="00770E8D" w:rsidP="00770E8D">
      <w:r>
        <w:t>Ufficio Stage e Tirocini</w:t>
      </w:r>
    </w:p>
    <w:p w14:paraId="3459D6C3" w14:textId="77777777" w:rsidR="00770E8D" w:rsidRDefault="00770E8D" w:rsidP="00770E8D">
      <w:r>
        <w:t> </w:t>
      </w:r>
    </w:p>
    <w:p w14:paraId="6AD6F087" w14:textId="77777777" w:rsidR="00770E8D" w:rsidRDefault="00770E8D">
      <w:r>
        <w:br w:type="page"/>
      </w:r>
    </w:p>
    <w:p w14:paraId="7590CF2D" w14:textId="606A58A1" w:rsidR="00770E8D" w:rsidRDefault="00770E8D" w:rsidP="00013F8C">
      <w:pPr>
        <w:pStyle w:val="Titolo2"/>
      </w:pPr>
      <w:r>
        <w:lastRenderedPageBreak/>
        <w:t>TIROCINI EXTRACURRICULARI</w:t>
      </w:r>
    </w:p>
    <w:p w14:paraId="4F68F778" w14:textId="77777777" w:rsidR="00770E8D" w:rsidRDefault="00770E8D" w:rsidP="00770E8D">
      <w:r>
        <w:t>I tirocini extracurricolari sono esperienze di formazione e orientamento in contesti lavorativi, realizzate alla conclusione del corso di studio, entro 12 mesi dal conseguimento del titolo. L’attivazione dei tirocini in Italia presso aziende ed enti, privati e pubblici, avviene mediante il portale Esse3-Spazio Stage. Destinatari/e del servizio sono laureati/e, o quanti hanno conseguito un titolo di master o di dottorato, presso l’Ateneo di Verona da non oltre 12 mesi.</w:t>
      </w:r>
    </w:p>
    <w:p w14:paraId="2A82BAB0" w14:textId="77777777" w:rsidR="00770E8D" w:rsidRDefault="00770E8D" w:rsidP="00013F8C">
      <w:pPr>
        <w:pStyle w:val="Titolo3"/>
      </w:pPr>
      <w:r>
        <w:t>VANTAGGI PER LE IMPRESE</w:t>
      </w:r>
    </w:p>
    <w:p w14:paraId="7440AF27" w14:textId="77777777" w:rsidR="00770E8D" w:rsidRDefault="00770E8D" w:rsidP="00770E8D">
      <w:r>
        <w:t>Opportunità di acquisire nuove competenze nella propria impresa grazie all’inserimento di risorse giovani e qualificate</w:t>
      </w:r>
    </w:p>
    <w:p w14:paraId="528D74E3" w14:textId="77777777" w:rsidR="00770E8D" w:rsidRDefault="00770E8D" w:rsidP="00013F8C">
      <w:pPr>
        <w:pStyle w:val="Titolo3"/>
      </w:pPr>
      <w:r>
        <w:t>AGEVOLAZIONI PER INSERIMENTO LAVORATIVO</w:t>
      </w:r>
    </w:p>
    <w:p w14:paraId="17CA011C" w14:textId="1229D954" w:rsidR="00770E8D" w:rsidRDefault="00770E8D" w:rsidP="0041465B">
      <w:pPr>
        <w:pStyle w:val="Puntoelenco"/>
      </w:pPr>
      <w:r>
        <w:t>Pubblicazione di offerte di tirocinio per selezionare il candidato ricercato</w:t>
      </w:r>
    </w:p>
    <w:p w14:paraId="3B993E14" w14:textId="527806F0" w:rsidR="00770E8D" w:rsidRDefault="00770E8D" w:rsidP="0041465B">
      <w:pPr>
        <w:pStyle w:val="Puntoelenco"/>
      </w:pPr>
      <w:r>
        <w:t>Attivazione gratuita del tirocinio</w:t>
      </w:r>
    </w:p>
    <w:p w14:paraId="00EF53DF" w14:textId="076ACD54" w:rsidR="00770E8D" w:rsidRDefault="00770E8D" w:rsidP="0041465B">
      <w:pPr>
        <w:pStyle w:val="Puntoelenco"/>
      </w:pPr>
      <w:r>
        <w:t>Indennità minima mensile lorda</w:t>
      </w:r>
    </w:p>
    <w:p w14:paraId="787133E0" w14:textId="6C2B37C0" w:rsidR="00770E8D" w:rsidRDefault="00770E8D" w:rsidP="0041465B">
      <w:pPr>
        <w:pStyle w:val="Puntoelenco"/>
      </w:pPr>
      <w:r>
        <w:t>Coperture assicurative garantite dall’Ateneo</w:t>
      </w:r>
    </w:p>
    <w:p w14:paraId="15B13C54" w14:textId="77777777" w:rsidR="00770E8D" w:rsidRDefault="00770E8D" w:rsidP="00013F8C">
      <w:pPr>
        <w:pStyle w:val="Titolo3"/>
      </w:pPr>
      <w:r>
        <w:t>MODALITÀ DI ATTIVAZIONE</w:t>
      </w:r>
    </w:p>
    <w:p w14:paraId="4B642B58" w14:textId="77777777" w:rsidR="00770E8D" w:rsidRDefault="00770E8D" w:rsidP="00770E8D">
      <w:r>
        <w:t>L’impresa può attivare un tirocinio sulla base di una convenzione e di un progetto formativo</w:t>
      </w:r>
    </w:p>
    <w:p w14:paraId="0E8C3A25" w14:textId="77777777" w:rsidR="00770E8D" w:rsidRDefault="00770E8D" w:rsidP="00013F8C">
      <w:pPr>
        <w:pStyle w:val="Titolo3"/>
      </w:pPr>
      <w:r>
        <w:t>DURATA</w:t>
      </w:r>
    </w:p>
    <w:p w14:paraId="349F635A" w14:textId="77777777" w:rsidR="00770E8D" w:rsidRDefault="00770E8D" w:rsidP="00770E8D">
      <w:r>
        <w:t>Dai due ai sei mesi</w:t>
      </w:r>
    </w:p>
    <w:p w14:paraId="33A7557D" w14:textId="77777777" w:rsidR="00770E8D" w:rsidRDefault="00770E8D" w:rsidP="00013F8C">
      <w:pPr>
        <w:pStyle w:val="Titolo3"/>
      </w:pPr>
      <w:r>
        <w:t>NORMATIVA</w:t>
      </w:r>
    </w:p>
    <w:p w14:paraId="35877A12" w14:textId="7ACBF244" w:rsidR="00770E8D" w:rsidRDefault="00770E8D" w:rsidP="0041465B">
      <w:pPr>
        <w:pStyle w:val="Puntoelenco"/>
      </w:pPr>
      <w:r>
        <w:t>Legge 28 giugno 2012 n. 92 art. 1 commi da 34 a 36</w:t>
      </w:r>
    </w:p>
    <w:p w14:paraId="2962E054" w14:textId="73B8E181" w:rsidR="00770E8D" w:rsidRDefault="00770E8D" w:rsidP="0041465B">
      <w:pPr>
        <w:pStyle w:val="Puntoelenco"/>
      </w:pPr>
      <w:r>
        <w:t>Accordo tra il Governo, le Regioni e Province autonome di Trento e Bolzano del 25 maggio 2017</w:t>
      </w:r>
    </w:p>
    <w:p w14:paraId="5144BD8C" w14:textId="4A8FCA35" w:rsidR="00770E8D" w:rsidRDefault="00770E8D" w:rsidP="0041465B">
      <w:pPr>
        <w:pStyle w:val="Puntoelenco"/>
      </w:pPr>
      <w:r>
        <w:t>Deliberazione della Giunta della Regione del Veneto n. 1816 del 07.11.2017</w:t>
      </w:r>
    </w:p>
    <w:p w14:paraId="0E8A80C5" w14:textId="77777777" w:rsidR="00770E8D" w:rsidRDefault="00770E8D" w:rsidP="00013F8C">
      <w:pPr>
        <w:pStyle w:val="Titolo3"/>
      </w:pPr>
      <w:r>
        <w:t>RIFERIMENTO</w:t>
      </w:r>
    </w:p>
    <w:p w14:paraId="727AC27B" w14:textId="77777777" w:rsidR="00770E8D" w:rsidRDefault="00770E8D" w:rsidP="00770E8D">
      <w:r>
        <w:t xml:space="preserve">Ufficio Job </w:t>
      </w:r>
      <w:proofErr w:type="spellStart"/>
      <w:r>
        <w:t>Placement</w:t>
      </w:r>
      <w:proofErr w:type="spellEnd"/>
    </w:p>
    <w:p w14:paraId="6A83DC5F" w14:textId="77777777" w:rsidR="00770E8D" w:rsidRDefault="00770E8D" w:rsidP="00770E8D">
      <w:r>
        <w:t> </w:t>
      </w:r>
    </w:p>
    <w:p w14:paraId="0392E79B" w14:textId="77777777" w:rsidR="00770E8D" w:rsidRDefault="00770E8D">
      <w:r>
        <w:br w:type="page"/>
      </w:r>
    </w:p>
    <w:p w14:paraId="5FAA13BC" w14:textId="52D6554A" w:rsidR="00770E8D" w:rsidRDefault="00770E8D" w:rsidP="00013F8C">
      <w:pPr>
        <w:pStyle w:val="Titolo2"/>
      </w:pPr>
      <w:r>
        <w:lastRenderedPageBreak/>
        <w:t>PUBBLICAZIONE ANNUNCI DI LAVORO</w:t>
      </w:r>
    </w:p>
    <w:p w14:paraId="1AC3EA5E" w14:textId="77777777" w:rsidR="00770E8D" w:rsidRDefault="00770E8D" w:rsidP="00770E8D">
      <w:r>
        <w:t xml:space="preserve">Pubblicazione di annunci di lavoro nella piattaforma Job </w:t>
      </w:r>
      <w:proofErr w:type="spellStart"/>
      <w:r>
        <w:t>Placement</w:t>
      </w:r>
      <w:proofErr w:type="spellEnd"/>
      <w:r>
        <w:t xml:space="preserve"> di Ateneo e richiesta elenco laureati/e: i servizi volti all’incontro tra domanda e offerta di lavoro riguardano principalmente l’acquisizione e pubblicazione di CV e annunci relativi a opportunità di lavoro. Tramite la banca dati del Job </w:t>
      </w:r>
      <w:proofErr w:type="spellStart"/>
      <w:r>
        <w:t>Placement</w:t>
      </w:r>
      <w:proofErr w:type="spellEnd"/>
      <w:r>
        <w:t xml:space="preserve">, i CV sono pubblicati on-line. Le aziende, previa registrazione, possono consultare e scaricare i CV completi delle generalità e dei dati di contatto degli interessati/e, con finalità di inserimento lavorativo. Tramite lo stesso portale, le aziende possono pubblicare i propri annunci di lavoro in una apposita bacheca i laureati/e possono candidarsi inviando on-line il proprio cv. Le aziende possono anche richiedere elenchi di laureati/e per specifiche posizioni lavorative, previa registrazione presso l’Ufficio Job </w:t>
      </w:r>
      <w:proofErr w:type="spellStart"/>
      <w:r>
        <w:t>Placement</w:t>
      </w:r>
      <w:proofErr w:type="spellEnd"/>
      <w:r>
        <w:t>.</w:t>
      </w:r>
    </w:p>
    <w:p w14:paraId="2BAC4667" w14:textId="77777777" w:rsidR="00770E8D" w:rsidRDefault="00770E8D" w:rsidP="00013F8C">
      <w:pPr>
        <w:pStyle w:val="Titolo3"/>
      </w:pPr>
      <w:r>
        <w:t>VANTAGGI PER LE IMPRESE</w:t>
      </w:r>
    </w:p>
    <w:p w14:paraId="0B159DC9" w14:textId="50D5C6C5" w:rsidR="00770E8D" w:rsidRDefault="00770E8D" w:rsidP="0041465B">
      <w:pPr>
        <w:pStyle w:val="Puntoelenco"/>
      </w:pPr>
      <w:r>
        <w:t>Possibilità di pubblicare annunci di lavoro in modo gratuito, beneficiando di un’ampia platea di neo-laureate/i e laureate/i dell’Ateneo veronese</w:t>
      </w:r>
    </w:p>
    <w:p w14:paraId="5752DC9E" w14:textId="505F2B44" w:rsidR="00770E8D" w:rsidRDefault="00770E8D" w:rsidP="0041465B">
      <w:pPr>
        <w:pStyle w:val="Puntoelenco"/>
      </w:pPr>
      <w:r>
        <w:t xml:space="preserve">Possibilità di reperire CV aggiornati e certificati </w:t>
      </w:r>
      <w:proofErr w:type="spellStart"/>
      <w:r>
        <w:t>AlmaLaurea</w:t>
      </w:r>
      <w:proofErr w:type="spellEnd"/>
      <w:r>
        <w:t xml:space="preserve"> in base all’area di studio per supportare la propria ricerca di personale</w:t>
      </w:r>
    </w:p>
    <w:p w14:paraId="20E686DF" w14:textId="09307D8F" w:rsidR="00770E8D" w:rsidRDefault="00770E8D" w:rsidP="0041465B">
      <w:pPr>
        <w:pStyle w:val="Puntoelenco"/>
      </w:pPr>
      <w:r>
        <w:t>Possibilità di acquisire i nominativi di chi ha appena conseguito il titolo di studio</w:t>
      </w:r>
    </w:p>
    <w:p w14:paraId="556C701F" w14:textId="77777777" w:rsidR="00770E8D" w:rsidRDefault="00770E8D" w:rsidP="00013F8C">
      <w:pPr>
        <w:pStyle w:val="Titolo3"/>
      </w:pPr>
      <w:r>
        <w:t>MODALITÀ DI ATTIVAZIONE</w:t>
      </w:r>
    </w:p>
    <w:p w14:paraId="3C1638EB" w14:textId="69B8E90E" w:rsidR="00770E8D" w:rsidRDefault="00770E8D" w:rsidP="0041465B">
      <w:pPr>
        <w:pStyle w:val="Puntoelenco"/>
      </w:pPr>
      <w:r>
        <w:t>Per pubblicare un annuncio è necessario registrarsi sulla piattaforma dedicata</w:t>
      </w:r>
    </w:p>
    <w:p w14:paraId="3B92592D" w14:textId="08DB733B" w:rsidR="00770E8D" w:rsidRDefault="00770E8D" w:rsidP="0041465B">
      <w:pPr>
        <w:pStyle w:val="Puntoelenco"/>
      </w:pPr>
      <w:r>
        <w:t xml:space="preserve">Per richiedere elenchi di laureati/e è necessario compilare l’apposito modulo da richiedere all’Ufficio Job </w:t>
      </w:r>
      <w:proofErr w:type="spellStart"/>
      <w:r>
        <w:t>Placement</w:t>
      </w:r>
      <w:proofErr w:type="spellEnd"/>
    </w:p>
    <w:p w14:paraId="11E381AC" w14:textId="77777777" w:rsidR="00770E8D" w:rsidRDefault="00770E8D" w:rsidP="00013F8C">
      <w:pPr>
        <w:pStyle w:val="Titolo3"/>
      </w:pPr>
      <w:r>
        <w:t>DURATA</w:t>
      </w:r>
    </w:p>
    <w:p w14:paraId="5FF26E56" w14:textId="77777777" w:rsidR="00770E8D" w:rsidRDefault="00770E8D" w:rsidP="00770E8D">
      <w:r>
        <w:t>Variabile per gli annunci. Gli elenchi di laureati/e vengono forniti per l’anno in corso</w:t>
      </w:r>
    </w:p>
    <w:p w14:paraId="2AA97FE9" w14:textId="77777777" w:rsidR="00770E8D" w:rsidRDefault="00770E8D" w:rsidP="00013F8C">
      <w:pPr>
        <w:pStyle w:val="Titolo3"/>
      </w:pPr>
      <w:r>
        <w:t>NORMATIVA</w:t>
      </w:r>
    </w:p>
    <w:p w14:paraId="439CDDBE" w14:textId="77777777" w:rsidR="00770E8D" w:rsidRDefault="00770E8D" w:rsidP="00770E8D">
      <w:r>
        <w:t>Legge 04.11.2010 n. 183 art. 48 (cd. collegato lavoro)</w:t>
      </w:r>
    </w:p>
    <w:p w14:paraId="64AF1372" w14:textId="77777777" w:rsidR="00770E8D" w:rsidRDefault="00770E8D" w:rsidP="00013F8C">
      <w:pPr>
        <w:pStyle w:val="Titolo3"/>
      </w:pPr>
      <w:r>
        <w:t>RIFERIMENTO</w:t>
      </w:r>
    </w:p>
    <w:p w14:paraId="2B89E6BD" w14:textId="77777777" w:rsidR="00770E8D" w:rsidRDefault="00770E8D" w:rsidP="00770E8D">
      <w:r>
        <w:t xml:space="preserve">Ufficio Job </w:t>
      </w:r>
      <w:proofErr w:type="spellStart"/>
      <w:r>
        <w:t>Placement</w:t>
      </w:r>
      <w:proofErr w:type="spellEnd"/>
    </w:p>
    <w:p w14:paraId="6465B0D5" w14:textId="77777777" w:rsidR="00770E8D" w:rsidRDefault="00770E8D" w:rsidP="00770E8D">
      <w:r>
        <w:t> </w:t>
      </w:r>
    </w:p>
    <w:p w14:paraId="67489433" w14:textId="77777777" w:rsidR="00770E8D" w:rsidRDefault="00770E8D">
      <w:r>
        <w:br w:type="page"/>
      </w:r>
    </w:p>
    <w:p w14:paraId="2C3DC2DB" w14:textId="35CBD21E" w:rsidR="00770E8D" w:rsidRDefault="00770E8D" w:rsidP="00013F8C">
      <w:pPr>
        <w:pStyle w:val="Titolo2"/>
      </w:pPr>
      <w:r>
        <w:lastRenderedPageBreak/>
        <w:t>RECRUITING DAY VERONA</w:t>
      </w:r>
    </w:p>
    <w:p w14:paraId="58691F7A" w14:textId="78D24C93" w:rsidR="00770E8D" w:rsidRDefault="00770E8D" w:rsidP="00770E8D">
      <w:proofErr w:type="spellStart"/>
      <w:r>
        <w:t>Recruiting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: eventi volti a favorire l’incontro e la conoscenza reciproca tra studenti e studentesse e laureati/e, da una parte, e rappresentanti di imprese, enti, professionisti/e </w:t>
      </w:r>
      <w:proofErr w:type="spellStart"/>
      <w:r>
        <w:t>e</w:t>
      </w:r>
      <w:proofErr w:type="spellEnd"/>
      <w:r>
        <w:t xml:space="preserve"> in generale potenziali datori/datrici di lavoro, dall’altra. Si tratta in particolare di presentazioni aziendali, </w:t>
      </w:r>
      <w:proofErr w:type="spellStart"/>
      <w:r>
        <w:t>webinar</w:t>
      </w:r>
      <w:proofErr w:type="spellEnd"/>
      <w:r>
        <w:t xml:space="preserve">, focus sulle professioni maggiormente richieste, eventi di </w:t>
      </w:r>
      <w:proofErr w:type="spellStart"/>
      <w:r>
        <w:t>recruiting</w:t>
      </w:r>
      <w:proofErr w:type="spellEnd"/>
      <w:r>
        <w:t xml:space="preserve"> con possibilità di incontrare candidati/e </w:t>
      </w:r>
      <w:proofErr w:type="spellStart"/>
      <w:r>
        <w:t>e</w:t>
      </w:r>
      <w:proofErr w:type="spellEnd"/>
      <w:r>
        <w:t xml:space="preserve"> raccogliere i loro CV. A questo proposito, l’Ufficio Job </w:t>
      </w:r>
      <w:proofErr w:type="spellStart"/>
      <w:r>
        <w:t>Placement</w:t>
      </w:r>
      <w:proofErr w:type="spellEnd"/>
      <w:r>
        <w:t xml:space="preserve"> organizza </w:t>
      </w:r>
      <w:proofErr w:type="spellStart"/>
      <w:r>
        <w:t>Recruiting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Verona, che si tiene online tramite una piattaforma sviluppata appositamente dall’Ateneo in collaborazione con la Camera di Commercio di Verona.</w:t>
      </w:r>
    </w:p>
    <w:p w14:paraId="3E5E8A99" w14:textId="77777777" w:rsidR="00770E8D" w:rsidRDefault="00770E8D" w:rsidP="00013F8C">
      <w:pPr>
        <w:pStyle w:val="Titolo3"/>
      </w:pPr>
      <w:r>
        <w:t>VANTAGGI PER LE IMPRESE</w:t>
      </w:r>
    </w:p>
    <w:p w14:paraId="4BF7E693" w14:textId="326C0C97" w:rsidR="00770E8D" w:rsidRDefault="00770E8D" w:rsidP="0041465B">
      <w:pPr>
        <w:pStyle w:val="Puntoelenco"/>
      </w:pPr>
      <w:r>
        <w:t>Possibilità di presentare la propria realtà aziendale a neo-laureate/i e laureate/i</w:t>
      </w:r>
    </w:p>
    <w:p w14:paraId="00556AD3" w14:textId="6B35F866" w:rsidR="00770E8D" w:rsidRDefault="00770E8D" w:rsidP="0041465B">
      <w:pPr>
        <w:pStyle w:val="Puntoelenco"/>
      </w:pPr>
      <w:r>
        <w:t>Possibilità di incontrare nuovi talenti e risorse qualificate in modo gratuito</w:t>
      </w:r>
    </w:p>
    <w:p w14:paraId="67EFD6D3" w14:textId="4C9B4E1A" w:rsidR="00770E8D" w:rsidRDefault="00770E8D" w:rsidP="0041465B">
      <w:pPr>
        <w:pStyle w:val="Puntoelenco"/>
      </w:pPr>
      <w:r>
        <w:t>Opportunità di valorizzare il proprio brand aziendale</w:t>
      </w:r>
    </w:p>
    <w:p w14:paraId="6C446A3B" w14:textId="77777777" w:rsidR="00770E8D" w:rsidRDefault="00770E8D" w:rsidP="00013F8C">
      <w:pPr>
        <w:pStyle w:val="Titolo3"/>
      </w:pPr>
      <w:r>
        <w:t>MODALITÀ DI ATTIVAZIONE</w:t>
      </w:r>
    </w:p>
    <w:p w14:paraId="17AC56CB" w14:textId="77777777" w:rsidR="00770E8D" w:rsidRDefault="00770E8D" w:rsidP="00770E8D">
      <w:r>
        <w:t xml:space="preserve">Per iscriversi occorre inviare la propria richiesta all’Ufficio Job </w:t>
      </w:r>
      <w:proofErr w:type="spellStart"/>
      <w:r>
        <w:t>Placement</w:t>
      </w:r>
      <w:proofErr w:type="spellEnd"/>
      <w:r>
        <w:t xml:space="preserve"> nelle finestre di iscrizione aperte in prossimità dell’evento</w:t>
      </w:r>
    </w:p>
    <w:p w14:paraId="5B806CE1" w14:textId="77777777" w:rsidR="00770E8D" w:rsidRDefault="00770E8D" w:rsidP="00013F8C">
      <w:pPr>
        <w:pStyle w:val="Titolo3"/>
      </w:pPr>
      <w:r>
        <w:t>DURATA</w:t>
      </w:r>
    </w:p>
    <w:p w14:paraId="68DDD5F8" w14:textId="77777777" w:rsidR="00770E8D" w:rsidRDefault="00770E8D" w:rsidP="00770E8D">
      <w:r>
        <w:t>Variabile</w:t>
      </w:r>
    </w:p>
    <w:p w14:paraId="70FB8DD4" w14:textId="77777777" w:rsidR="00770E8D" w:rsidRDefault="00770E8D" w:rsidP="00013F8C">
      <w:pPr>
        <w:pStyle w:val="Titolo3"/>
      </w:pPr>
      <w:r>
        <w:t>RIFERIMENTO</w:t>
      </w:r>
    </w:p>
    <w:p w14:paraId="7D7CF632" w14:textId="77777777" w:rsidR="00770E8D" w:rsidRDefault="00770E8D" w:rsidP="00770E8D">
      <w:r>
        <w:t xml:space="preserve">Ufficio Job </w:t>
      </w:r>
      <w:proofErr w:type="spellStart"/>
      <w:r>
        <w:t>Placement</w:t>
      </w:r>
      <w:proofErr w:type="spellEnd"/>
    </w:p>
    <w:p w14:paraId="3DFDE9DB" w14:textId="77777777" w:rsidR="00770E8D" w:rsidRDefault="00770E8D" w:rsidP="00770E8D">
      <w:r>
        <w:t> </w:t>
      </w:r>
    </w:p>
    <w:p w14:paraId="18A89D7C" w14:textId="77777777" w:rsidR="00770E8D" w:rsidRDefault="00770E8D">
      <w:r>
        <w:br w:type="page"/>
      </w:r>
    </w:p>
    <w:p w14:paraId="51013C9E" w14:textId="666A576B" w:rsidR="00770E8D" w:rsidRDefault="00770E8D" w:rsidP="00013F8C">
      <w:pPr>
        <w:pStyle w:val="Titolo2"/>
      </w:pPr>
      <w:r>
        <w:lastRenderedPageBreak/>
        <w:t>CORSI DI FORMAZIONE CONTINUA</w:t>
      </w:r>
    </w:p>
    <w:p w14:paraId="377F4CDF" w14:textId="2A72B29B" w:rsidR="00770E8D" w:rsidRDefault="00770E8D" w:rsidP="00770E8D">
      <w:r>
        <w:t>I corsi di formazione continua sono percorsi flessibili nelle modalità formative e costruiti sulle esigenze di albi professionali, associazioni di categoria, enti pubblici, società private e aziende sanitarie, destinati a chi lavora,</w:t>
      </w:r>
      <w:r w:rsidR="005B5062">
        <w:t xml:space="preserve"> </w:t>
      </w:r>
      <w:r>
        <w:t>non occupati/e, laureati/e o diplomati/e, in cerca di crescita professionale e di adeguare o elevare il livello professionale in determinati ambiti specialistici.</w:t>
      </w:r>
    </w:p>
    <w:p w14:paraId="1762C811" w14:textId="77777777" w:rsidR="00770E8D" w:rsidRDefault="00770E8D" w:rsidP="00013F8C">
      <w:pPr>
        <w:pStyle w:val="Titolo3"/>
      </w:pPr>
      <w:r>
        <w:t>VANTAGGI PER LE IMPRESE</w:t>
      </w:r>
    </w:p>
    <w:p w14:paraId="43A1E28E" w14:textId="07AFB856" w:rsidR="00770E8D" w:rsidRDefault="00770E8D" w:rsidP="0041465B">
      <w:pPr>
        <w:pStyle w:val="Puntoelenco"/>
      </w:pPr>
      <w:r>
        <w:t>Possibilità di formazione del proprio personale</w:t>
      </w:r>
    </w:p>
    <w:p w14:paraId="347D4C23" w14:textId="4AC18BC4" w:rsidR="00770E8D" w:rsidRDefault="00770E8D" w:rsidP="0041465B">
      <w:pPr>
        <w:pStyle w:val="Puntoelenco"/>
      </w:pPr>
      <w:r>
        <w:t>Possibilità di ospitare studenti e studentesse in stage</w:t>
      </w:r>
    </w:p>
    <w:p w14:paraId="45DE996E" w14:textId="405F4A69" w:rsidR="00770E8D" w:rsidRDefault="00770E8D" w:rsidP="0041465B">
      <w:pPr>
        <w:pStyle w:val="Puntoelenco"/>
      </w:pPr>
      <w:r>
        <w:t>Possibilità offerta di borse di studio a studenti e studentesse meritevoli</w:t>
      </w:r>
    </w:p>
    <w:p w14:paraId="07B0EC14" w14:textId="7AA9D4F6" w:rsidR="00770E8D" w:rsidRDefault="00770E8D" w:rsidP="0041465B">
      <w:pPr>
        <w:pStyle w:val="Puntoelenco"/>
      </w:pPr>
      <w:r>
        <w:t>Possibilità di collaborazione alla progettazione dei corsi finalizzata al reclutamento di personale qualificato</w:t>
      </w:r>
    </w:p>
    <w:p w14:paraId="7FB648F8" w14:textId="77777777" w:rsidR="00770E8D" w:rsidRDefault="00770E8D" w:rsidP="00013F8C">
      <w:pPr>
        <w:pStyle w:val="Titolo3"/>
      </w:pPr>
      <w:r>
        <w:t>MODALITÀ DI ATTIVAZIONE</w:t>
      </w:r>
    </w:p>
    <w:p w14:paraId="0F1A4D0E" w14:textId="77777777" w:rsidR="00770E8D" w:rsidRDefault="00770E8D" w:rsidP="00770E8D">
      <w:r>
        <w:t>L’impresa può proporre all’Università la propria collaborazione che viene formalizzata con una convenzione</w:t>
      </w:r>
    </w:p>
    <w:p w14:paraId="5BB73212" w14:textId="77777777" w:rsidR="00770E8D" w:rsidRDefault="00770E8D" w:rsidP="00013F8C">
      <w:pPr>
        <w:pStyle w:val="Titolo3"/>
      </w:pPr>
      <w:r>
        <w:t>DURATA</w:t>
      </w:r>
    </w:p>
    <w:p w14:paraId="1E08B2C9" w14:textId="77777777" w:rsidR="00770E8D" w:rsidRDefault="00770E8D" w:rsidP="00770E8D">
      <w:r>
        <w:t>Hanno durata variabile a seconda dell’articolazione didattica e delle competenze che il corso intende fornire</w:t>
      </w:r>
    </w:p>
    <w:p w14:paraId="237C8149" w14:textId="77777777" w:rsidR="00770E8D" w:rsidRDefault="00770E8D" w:rsidP="00013F8C">
      <w:pPr>
        <w:pStyle w:val="Titolo3"/>
      </w:pPr>
      <w:r>
        <w:t>NORMATIVA</w:t>
      </w:r>
    </w:p>
    <w:p w14:paraId="7A7889C2" w14:textId="77777777" w:rsidR="00770E8D" w:rsidRDefault="00770E8D" w:rsidP="00770E8D">
      <w:r>
        <w:t>Regolamento Università di Verona DR 751 del 2.02.2021</w:t>
      </w:r>
    </w:p>
    <w:p w14:paraId="151D7D60" w14:textId="77777777" w:rsidR="00770E8D" w:rsidRDefault="00770E8D" w:rsidP="00013F8C">
      <w:pPr>
        <w:pStyle w:val="Titolo3"/>
      </w:pPr>
      <w:r>
        <w:t>RIFERIMENTO</w:t>
      </w:r>
    </w:p>
    <w:p w14:paraId="275F8040" w14:textId="77777777" w:rsidR="00770E8D" w:rsidRDefault="00770E8D" w:rsidP="00770E8D">
      <w:r>
        <w:t>Master e corsi di perfezionamento e di aggiornamento professionale e servizio formazione insegnanti</w:t>
      </w:r>
    </w:p>
    <w:p w14:paraId="15C7EFD1" w14:textId="77777777" w:rsidR="00770E8D" w:rsidRDefault="00770E8D" w:rsidP="00770E8D">
      <w:r>
        <w:t> </w:t>
      </w:r>
    </w:p>
    <w:p w14:paraId="1458006B" w14:textId="77777777" w:rsidR="00770E8D" w:rsidRDefault="00770E8D">
      <w:r>
        <w:br w:type="page"/>
      </w:r>
    </w:p>
    <w:p w14:paraId="3247F33A" w14:textId="17AE49F5" w:rsidR="00770E8D" w:rsidRDefault="00770E8D" w:rsidP="00013F8C">
      <w:pPr>
        <w:pStyle w:val="Titolo2"/>
      </w:pPr>
      <w:r>
        <w:lastRenderedPageBreak/>
        <w:t>CORSI DI PERFEZIONAMENTO E AGGIORNAMENTO PROFESSIONALE</w:t>
      </w:r>
    </w:p>
    <w:p w14:paraId="0D4ACACB" w14:textId="77777777" w:rsidR="00770E8D" w:rsidRDefault="00770E8D" w:rsidP="00770E8D">
      <w:r>
        <w:t>I corsi di perfezionamento e aggiornamento professionale sono percorsi di alta formazione costruiti sulle esigenze di albi professionali, associazioni di categoria, enti pubblici, società private e aziende sanitarie, destinati a laureati/e o diplomati/e che hanno necessità di approfondire un ambito specialistico, professionale e culturale.</w:t>
      </w:r>
    </w:p>
    <w:p w14:paraId="40421634" w14:textId="77777777" w:rsidR="00770E8D" w:rsidRDefault="00770E8D" w:rsidP="00013F8C">
      <w:pPr>
        <w:pStyle w:val="Titolo3"/>
      </w:pPr>
      <w:r>
        <w:t>VANTAGGI PER LE IMPRESE</w:t>
      </w:r>
    </w:p>
    <w:p w14:paraId="425A99E3" w14:textId="43E396FB" w:rsidR="00770E8D" w:rsidRDefault="00770E8D" w:rsidP="0041465B">
      <w:pPr>
        <w:pStyle w:val="Puntoelenco"/>
      </w:pPr>
      <w:r>
        <w:t>Possibilità di formazione del proprio personale</w:t>
      </w:r>
    </w:p>
    <w:p w14:paraId="28CE80DE" w14:textId="05717A6A" w:rsidR="00770E8D" w:rsidRDefault="00770E8D" w:rsidP="0041465B">
      <w:pPr>
        <w:pStyle w:val="Puntoelenco"/>
      </w:pPr>
      <w:r>
        <w:t>Possibilità di ospitare studenti e studentesse in stage</w:t>
      </w:r>
    </w:p>
    <w:p w14:paraId="1532919A" w14:textId="4AE5F70E" w:rsidR="00770E8D" w:rsidRDefault="00770E8D" w:rsidP="0041465B">
      <w:pPr>
        <w:pStyle w:val="Puntoelenco"/>
      </w:pPr>
      <w:r>
        <w:t>Possibilità offerta di borse di studio a studenti e studentesse meritevoli</w:t>
      </w:r>
    </w:p>
    <w:p w14:paraId="50088953" w14:textId="1F1082C4" w:rsidR="00770E8D" w:rsidRDefault="00770E8D" w:rsidP="0041465B">
      <w:pPr>
        <w:pStyle w:val="Puntoelenco"/>
      </w:pPr>
      <w:r>
        <w:t>Possibilità di collaborazione alla progettazione dei corsi finalizzata al reclutamento di personale qualificato</w:t>
      </w:r>
    </w:p>
    <w:p w14:paraId="11BD192B" w14:textId="77777777" w:rsidR="00770E8D" w:rsidRDefault="00770E8D" w:rsidP="00013F8C">
      <w:pPr>
        <w:pStyle w:val="Titolo3"/>
      </w:pPr>
      <w:r>
        <w:t>MODALITÀ DI ATTIVAZIONE</w:t>
      </w:r>
    </w:p>
    <w:p w14:paraId="1E7B4A49" w14:textId="77777777" w:rsidR="00770E8D" w:rsidRDefault="00770E8D" w:rsidP="00770E8D">
      <w:r>
        <w:t>L’impresa può proporre all’Università la propria collaborazione che viene formalizzata con una convenzione</w:t>
      </w:r>
    </w:p>
    <w:p w14:paraId="1F89F7E3" w14:textId="77777777" w:rsidR="00770E8D" w:rsidRDefault="00770E8D" w:rsidP="00013F8C">
      <w:pPr>
        <w:pStyle w:val="Titolo3"/>
      </w:pPr>
      <w:r>
        <w:t>DURATA</w:t>
      </w:r>
    </w:p>
    <w:p w14:paraId="0AF791F7" w14:textId="77777777" w:rsidR="00770E8D" w:rsidRDefault="00770E8D" w:rsidP="00770E8D">
      <w:r>
        <w:t>Hanno durata variabile a seconda dell’articolazione didattica e delle competenze che il corso intende fornire</w:t>
      </w:r>
    </w:p>
    <w:p w14:paraId="6EA7F7D4" w14:textId="77777777" w:rsidR="00770E8D" w:rsidRDefault="00770E8D" w:rsidP="00013F8C">
      <w:pPr>
        <w:pStyle w:val="Titolo3"/>
      </w:pPr>
      <w:r>
        <w:t>NORMATIVA</w:t>
      </w:r>
    </w:p>
    <w:p w14:paraId="3CDB7641" w14:textId="53E721FB" w:rsidR="00770E8D" w:rsidRPr="0041465B" w:rsidRDefault="00770E8D" w:rsidP="0041465B">
      <w:pPr>
        <w:pStyle w:val="Puntoelenco"/>
      </w:pPr>
      <w:r w:rsidRPr="0041465B">
        <w:t xml:space="preserve">Legge n. 341 del 19.11.1990 </w:t>
      </w:r>
    </w:p>
    <w:p w14:paraId="4A54675E" w14:textId="19B337F4" w:rsidR="00770E8D" w:rsidRPr="0041465B" w:rsidRDefault="00770E8D" w:rsidP="0041465B">
      <w:pPr>
        <w:pStyle w:val="Puntoelenco"/>
      </w:pPr>
      <w:r w:rsidRPr="0041465B">
        <w:t>Legge n. 240 del 30.12.2010</w:t>
      </w:r>
    </w:p>
    <w:p w14:paraId="230E4D21" w14:textId="380C2D62" w:rsidR="00770E8D" w:rsidRPr="0041465B" w:rsidRDefault="00770E8D" w:rsidP="0041465B">
      <w:pPr>
        <w:pStyle w:val="Puntoelenco"/>
      </w:pPr>
      <w:r w:rsidRPr="0041465B">
        <w:t>Regolamento Università di Verona DR 751 del 2.02.2021</w:t>
      </w:r>
    </w:p>
    <w:p w14:paraId="182740C0" w14:textId="77777777" w:rsidR="00770E8D" w:rsidRDefault="00770E8D" w:rsidP="00013F8C">
      <w:pPr>
        <w:pStyle w:val="Titolo3"/>
      </w:pPr>
      <w:r>
        <w:t>RIFERIMENTO</w:t>
      </w:r>
    </w:p>
    <w:p w14:paraId="34EBB508" w14:textId="77777777" w:rsidR="00770E8D" w:rsidRDefault="00770E8D" w:rsidP="00770E8D">
      <w:r>
        <w:t>Master e corsi di perfezionamento e di aggiornamento professionale e servizio formazione insegnanti</w:t>
      </w:r>
    </w:p>
    <w:p w14:paraId="518CBEFC" w14:textId="77777777" w:rsidR="00770E8D" w:rsidRDefault="00770E8D" w:rsidP="00770E8D">
      <w:r>
        <w:t> </w:t>
      </w:r>
    </w:p>
    <w:p w14:paraId="289BDEBD" w14:textId="77777777" w:rsidR="00770E8D" w:rsidRDefault="00770E8D">
      <w:r>
        <w:br w:type="page"/>
      </w:r>
    </w:p>
    <w:p w14:paraId="1F87A38A" w14:textId="0F14B622" w:rsidR="00770E8D" w:rsidRDefault="00770E8D" w:rsidP="00013F8C">
      <w:pPr>
        <w:pStyle w:val="Titolo2"/>
      </w:pPr>
      <w:r>
        <w:lastRenderedPageBreak/>
        <w:t>MASTER</w:t>
      </w:r>
    </w:p>
    <w:p w14:paraId="31999E61" w14:textId="77777777" w:rsidR="00770E8D" w:rsidRDefault="00770E8D" w:rsidP="00770E8D">
      <w:r>
        <w:t>I master universitari di I e II livello sono percorsi di alta specializzazione disciplinare e interdisciplinare che rispondono alle esigenze del mercato del lavoro destinati a neo laureati/e o a laureati/e che intendono rafforzare e ampliare le proprie conoscenze e competenze.</w:t>
      </w:r>
    </w:p>
    <w:p w14:paraId="40AA64F1" w14:textId="77777777" w:rsidR="00770E8D" w:rsidRDefault="00770E8D" w:rsidP="00013F8C">
      <w:pPr>
        <w:pStyle w:val="Titolo3"/>
      </w:pPr>
      <w:r>
        <w:t>VANTAGGI PER LE IMPRESE</w:t>
      </w:r>
    </w:p>
    <w:p w14:paraId="63EF3668" w14:textId="4BDA79A7" w:rsidR="00770E8D" w:rsidRDefault="00770E8D" w:rsidP="0041465B">
      <w:pPr>
        <w:pStyle w:val="Puntoelenco"/>
      </w:pPr>
      <w:r>
        <w:t>Possibilità di formazione del proprio personale</w:t>
      </w:r>
    </w:p>
    <w:p w14:paraId="6B073135" w14:textId="221F3A7F" w:rsidR="00770E8D" w:rsidRDefault="00770E8D" w:rsidP="0041465B">
      <w:pPr>
        <w:pStyle w:val="Puntoelenco"/>
      </w:pPr>
      <w:r>
        <w:t>Possibilità di ospitare studenti e studentesse in stage</w:t>
      </w:r>
    </w:p>
    <w:p w14:paraId="0DF7C102" w14:textId="5801262C" w:rsidR="00770E8D" w:rsidRDefault="00770E8D" w:rsidP="0041465B">
      <w:pPr>
        <w:pStyle w:val="Puntoelenco"/>
      </w:pPr>
      <w:r>
        <w:t>Possibilità offerta di borse di studio a studenti e studentesse meritevoli</w:t>
      </w:r>
    </w:p>
    <w:p w14:paraId="74B41BDA" w14:textId="28482944" w:rsidR="00770E8D" w:rsidRDefault="00770E8D" w:rsidP="0041465B">
      <w:pPr>
        <w:pStyle w:val="Puntoelenco"/>
      </w:pPr>
      <w:r>
        <w:t>Possibilità di collaborazione alla progettazione dei corsi finalizzata al reclutamento di personale qualificato</w:t>
      </w:r>
    </w:p>
    <w:p w14:paraId="7DA76CAB" w14:textId="77777777" w:rsidR="00770E8D" w:rsidRDefault="00770E8D" w:rsidP="00013F8C">
      <w:pPr>
        <w:pStyle w:val="Titolo3"/>
      </w:pPr>
      <w:r>
        <w:t>MODALITÀ DI ATTIVAZIONE</w:t>
      </w:r>
    </w:p>
    <w:p w14:paraId="1B00C9F8" w14:textId="77777777" w:rsidR="00770E8D" w:rsidRDefault="00770E8D" w:rsidP="00770E8D">
      <w:r>
        <w:t>L’impresa può proporre all’Università la propria collaborazione che viene formalizzata con una convenzione</w:t>
      </w:r>
    </w:p>
    <w:p w14:paraId="23BA3993" w14:textId="77777777" w:rsidR="00770E8D" w:rsidRDefault="00770E8D" w:rsidP="00013F8C">
      <w:pPr>
        <w:pStyle w:val="Titolo3"/>
      </w:pPr>
      <w:r>
        <w:t>DURATA</w:t>
      </w:r>
    </w:p>
    <w:p w14:paraId="3A3F7353" w14:textId="77777777" w:rsidR="00770E8D" w:rsidRDefault="00770E8D" w:rsidP="00770E8D">
      <w:r>
        <w:t>Almeno annuale</w:t>
      </w:r>
    </w:p>
    <w:p w14:paraId="15C28882" w14:textId="77777777" w:rsidR="00770E8D" w:rsidRDefault="00770E8D" w:rsidP="00013F8C">
      <w:pPr>
        <w:pStyle w:val="Titolo3"/>
      </w:pPr>
      <w:r>
        <w:t>NORMATIVA</w:t>
      </w:r>
    </w:p>
    <w:p w14:paraId="62FB9C52" w14:textId="47EB7520" w:rsidR="00770E8D" w:rsidRDefault="00770E8D" w:rsidP="0041465B">
      <w:pPr>
        <w:pStyle w:val="Puntoelenco"/>
      </w:pPr>
      <w:r>
        <w:t>Legge n. 240 del 30.12.2010</w:t>
      </w:r>
    </w:p>
    <w:p w14:paraId="69A8DF5C" w14:textId="20519AF2" w:rsidR="00770E8D" w:rsidRDefault="00770E8D" w:rsidP="0041465B">
      <w:pPr>
        <w:pStyle w:val="Puntoelenco"/>
      </w:pPr>
      <w:r>
        <w:t>Regolamento Università di Verona DR 751 del 2.02.2021</w:t>
      </w:r>
    </w:p>
    <w:p w14:paraId="708B4C52" w14:textId="77777777" w:rsidR="00770E8D" w:rsidRDefault="00770E8D" w:rsidP="00013F8C">
      <w:pPr>
        <w:pStyle w:val="Titolo3"/>
      </w:pPr>
      <w:r>
        <w:t>RIFERIMENTO</w:t>
      </w:r>
    </w:p>
    <w:p w14:paraId="2AFBDC54" w14:textId="77777777" w:rsidR="00770E8D" w:rsidRDefault="00770E8D" w:rsidP="00770E8D">
      <w:r>
        <w:t>Master e corsi di perfezionamento e di aggiornamento professionale e servizio formazione insegnanti</w:t>
      </w:r>
    </w:p>
    <w:p w14:paraId="1B4043C8" w14:textId="77777777" w:rsidR="00770E8D" w:rsidRDefault="00770E8D" w:rsidP="00770E8D">
      <w:r>
        <w:t> </w:t>
      </w:r>
    </w:p>
    <w:p w14:paraId="2C577083" w14:textId="77777777" w:rsidR="00770E8D" w:rsidRDefault="00770E8D">
      <w:r>
        <w:br w:type="page"/>
      </w:r>
    </w:p>
    <w:p w14:paraId="0B750B27" w14:textId="7EBCCED3" w:rsidR="00770E8D" w:rsidRDefault="00770E8D" w:rsidP="00013F8C">
      <w:pPr>
        <w:pStyle w:val="Titolo2"/>
      </w:pPr>
      <w:r>
        <w:lastRenderedPageBreak/>
        <w:t>BORSE DI STUDIO E PREMI DI LAUREA</w:t>
      </w:r>
    </w:p>
    <w:p w14:paraId="24399330" w14:textId="77777777" w:rsidR="00770E8D" w:rsidRDefault="00770E8D" w:rsidP="00770E8D">
      <w:r>
        <w:t>Le borse di studio rappresentano un sostegno economico per valorizzare percorsi di studio di studenti e studentesse particolarmente meritevoli. I premi di laurea costituiscono un riconoscimento a neolaureati e neolaureate che abbiano fornito un contributo scientifico alla conoscenza di determinati argomenti o abbiano affrontato particolari tematiche. L’Università bandisce periodicamente concorsi per l’istituzione e l’assegnazione di riconoscimenti, che possono essere assegnati anche grazie a finanziamenti da parte di imprese o enti esterni.</w:t>
      </w:r>
    </w:p>
    <w:p w14:paraId="07D460F7" w14:textId="77777777" w:rsidR="00770E8D" w:rsidRDefault="00770E8D" w:rsidP="00013F8C">
      <w:pPr>
        <w:pStyle w:val="Titolo3"/>
      </w:pPr>
      <w:r>
        <w:t>VANTAGGI PER LE IMPRESE</w:t>
      </w:r>
    </w:p>
    <w:p w14:paraId="79988FEF" w14:textId="68E89E4F" w:rsidR="00770E8D" w:rsidRDefault="00770E8D" w:rsidP="0041465B">
      <w:pPr>
        <w:pStyle w:val="Puntoelenco"/>
      </w:pPr>
      <w:r>
        <w:t>Valorizzazione del brand aziendale</w:t>
      </w:r>
    </w:p>
    <w:p w14:paraId="6CD6CA78" w14:textId="1827E7D6" w:rsidR="00770E8D" w:rsidRDefault="00770E8D" w:rsidP="0041465B">
      <w:pPr>
        <w:pStyle w:val="Puntoelenco"/>
      </w:pPr>
      <w:r>
        <w:t>Opportunità di premiare studenti e studentesse e/o laureati    e laureate dell’Ateneo in ambiti scientifici specifici</w:t>
      </w:r>
    </w:p>
    <w:p w14:paraId="0722472C" w14:textId="64CB252D" w:rsidR="00770E8D" w:rsidRDefault="00770E8D" w:rsidP="0041465B">
      <w:pPr>
        <w:pStyle w:val="Puntoelenco"/>
      </w:pPr>
      <w:r>
        <w:t>Omaggio alla memoria di personalità</w:t>
      </w:r>
    </w:p>
    <w:p w14:paraId="491113EA" w14:textId="035E1AC0" w:rsidR="00770E8D" w:rsidRDefault="00770E8D" w:rsidP="0041465B">
      <w:pPr>
        <w:pStyle w:val="Puntoelenco"/>
      </w:pPr>
      <w:r>
        <w:t>Commemorazione di anniversari e ricorrenze</w:t>
      </w:r>
    </w:p>
    <w:p w14:paraId="3C843D3E" w14:textId="77777777" w:rsidR="00770E8D" w:rsidRDefault="00770E8D" w:rsidP="00013F8C">
      <w:pPr>
        <w:pStyle w:val="Titolo3"/>
      </w:pPr>
      <w:r>
        <w:t>AGEVOLAZIONI FISCALI</w:t>
      </w:r>
    </w:p>
    <w:p w14:paraId="382E3503" w14:textId="77777777" w:rsidR="00770E8D" w:rsidRDefault="00770E8D" w:rsidP="00770E8D">
      <w:r>
        <w:t>Deducibilità ed agevolazioni per liberalità</w:t>
      </w:r>
    </w:p>
    <w:p w14:paraId="2B4B856E" w14:textId="77777777" w:rsidR="00770E8D" w:rsidRDefault="00770E8D" w:rsidP="00013F8C">
      <w:pPr>
        <w:pStyle w:val="Titolo3"/>
      </w:pPr>
      <w:r>
        <w:t>MODALITÀ DI ATTIVAZIONE</w:t>
      </w:r>
    </w:p>
    <w:p w14:paraId="0B4A9485" w14:textId="77777777" w:rsidR="00770E8D" w:rsidRDefault="00770E8D" w:rsidP="00770E8D">
      <w:r>
        <w:t>I soggetti esterni che vogliono richiedere l’istituzione di una borsa di studio per studenti e studentesse, per merito e/o per reddito, o di premi di laurea per neolaureati e neolaureate che abbiano discusso la tesi in determinati anni accademici e su specifiche tematiche, sottoscrivono una lettera di intenti all’Università. L’attivazione viene regolata da un bando specifico che disciplina i requisiti di ammissione secondo le modalità indicate dal soggetto finanziatore e dall’Ateneo</w:t>
      </w:r>
    </w:p>
    <w:p w14:paraId="296CEF83" w14:textId="77777777" w:rsidR="00770E8D" w:rsidRDefault="00770E8D" w:rsidP="00013F8C">
      <w:pPr>
        <w:pStyle w:val="Titolo3"/>
      </w:pPr>
      <w:r>
        <w:t>DURATA</w:t>
      </w:r>
    </w:p>
    <w:p w14:paraId="532D3421" w14:textId="77777777" w:rsidR="00770E8D" w:rsidRDefault="00770E8D" w:rsidP="00770E8D">
      <w:r>
        <w:t>Una tantum/annuale/biennale/pluriennale</w:t>
      </w:r>
    </w:p>
    <w:p w14:paraId="0ED5279F" w14:textId="77777777" w:rsidR="00770E8D" w:rsidRDefault="00770E8D" w:rsidP="00013F8C">
      <w:pPr>
        <w:pStyle w:val="Titolo3"/>
      </w:pPr>
      <w:r>
        <w:t>NORMATIVA</w:t>
      </w:r>
    </w:p>
    <w:p w14:paraId="225DBC94" w14:textId="4A399DE9" w:rsidR="00770E8D" w:rsidRDefault="00770E8D" w:rsidP="0041465B">
      <w:pPr>
        <w:pStyle w:val="Puntoelenco"/>
      </w:pPr>
      <w:r>
        <w:t>Legge n. 240 del 30.12.2010</w:t>
      </w:r>
    </w:p>
    <w:p w14:paraId="01184DFD" w14:textId="7E0FA071" w:rsidR="00770E8D" w:rsidRDefault="00770E8D" w:rsidP="0041465B">
      <w:pPr>
        <w:pStyle w:val="Puntoelenco"/>
      </w:pPr>
      <w:r>
        <w:t>Regolamento Università di Verona DR 11432 del 15.06.2000</w:t>
      </w:r>
    </w:p>
    <w:p w14:paraId="40AB9AC6" w14:textId="77777777" w:rsidR="00770E8D" w:rsidRDefault="00770E8D" w:rsidP="00013F8C">
      <w:pPr>
        <w:pStyle w:val="Titolo3"/>
      </w:pPr>
      <w:r>
        <w:t>RIFERIMENTO</w:t>
      </w:r>
    </w:p>
    <w:p w14:paraId="125D81ED" w14:textId="77777777" w:rsidR="00770E8D" w:rsidRDefault="00770E8D" w:rsidP="00770E8D">
      <w:r>
        <w:t>Ufficio Diritto allo Studio</w:t>
      </w:r>
    </w:p>
    <w:p w14:paraId="284E10C1" w14:textId="77777777" w:rsidR="00770E8D" w:rsidRDefault="00770E8D" w:rsidP="00770E8D">
      <w:r>
        <w:t> </w:t>
      </w:r>
    </w:p>
    <w:p w14:paraId="3238DE09" w14:textId="77777777" w:rsidR="00770E8D" w:rsidRDefault="00770E8D">
      <w:r>
        <w:br w:type="page"/>
      </w:r>
    </w:p>
    <w:p w14:paraId="55E583AB" w14:textId="31840ECF" w:rsidR="00770E8D" w:rsidRDefault="00770E8D" w:rsidP="00013F8C">
      <w:pPr>
        <w:pStyle w:val="Titolo2"/>
      </w:pPr>
      <w:r>
        <w:lastRenderedPageBreak/>
        <w:t>EVENTI</w:t>
      </w:r>
    </w:p>
    <w:p w14:paraId="30EB99E7" w14:textId="77777777" w:rsidR="00C07AA8" w:rsidRDefault="00C07AA8" w:rsidP="00C07AA8">
      <w:r w:rsidRPr="00C07AA8">
        <w:t>L’Ateneo promuove o organizza periodicamente numerose manifestazioni di trasferimento della conoscenza.</w:t>
      </w:r>
    </w:p>
    <w:p w14:paraId="0F633084" w14:textId="68236521" w:rsidR="00C07AA8" w:rsidRPr="00C07AA8" w:rsidRDefault="00C07AA8" w:rsidP="00C07AA8">
      <w:r w:rsidRPr="00C07AA8">
        <w:t>In questi anni, grazie al supporto di alcune realtà imprenditoriali, è stato possibile offrire alla città e al territorio eventi di divulgazione scientifica e molti altri appuntamenti in cui i risultati della ricerca di Ateneo sono raccontati ad un ampio pubblico.</w:t>
      </w:r>
    </w:p>
    <w:p w14:paraId="674BA0DD" w14:textId="40FB9A81" w:rsidR="00770E8D" w:rsidRDefault="00770E8D" w:rsidP="00C07AA8">
      <w:pPr>
        <w:pStyle w:val="Titolo3"/>
      </w:pPr>
      <w:r>
        <w:t>VANTAGGI PER LE IMPRESE</w:t>
      </w:r>
    </w:p>
    <w:p w14:paraId="5B6732B9" w14:textId="0EADD5C4" w:rsidR="00770E8D" w:rsidRDefault="00770E8D" w:rsidP="0041465B">
      <w:pPr>
        <w:pStyle w:val="Puntoelenco"/>
      </w:pPr>
      <w:r>
        <w:t>Opportunità di sostenere eventi culturali e di trasferimento della conoscenza</w:t>
      </w:r>
    </w:p>
    <w:p w14:paraId="2111C763" w14:textId="28648172" w:rsidR="00770E8D" w:rsidRDefault="00770E8D" w:rsidP="0041465B">
      <w:pPr>
        <w:pStyle w:val="Puntoelenco"/>
      </w:pPr>
      <w:r>
        <w:t>Valorizzazione del brand aziendale</w:t>
      </w:r>
    </w:p>
    <w:p w14:paraId="421AF52F" w14:textId="1D1C1530" w:rsidR="00770E8D" w:rsidRDefault="00770E8D" w:rsidP="0041465B">
      <w:pPr>
        <w:pStyle w:val="Puntoelenco"/>
      </w:pPr>
      <w:r>
        <w:t>Consolidamento delle relazioni tra azienda e Università</w:t>
      </w:r>
    </w:p>
    <w:p w14:paraId="7F3E88D0" w14:textId="77777777" w:rsidR="00770E8D" w:rsidRDefault="00770E8D" w:rsidP="00013F8C">
      <w:pPr>
        <w:pStyle w:val="Titolo3"/>
      </w:pPr>
      <w:r>
        <w:t>AGEVOLAZIONI FISCALI</w:t>
      </w:r>
    </w:p>
    <w:p w14:paraId="1D13926B" w14:textId="77777777" w:rsidR="00770E8D" w:rsidRDefault="00770E8D" w:rsidP="00770E8D">
      <w:r>
        <w:t>Deducibilità ed agevolazioni per liberalità</w:t>
      </w:r>
    </w:p>
    <w:p w14:paraId="7096B39A" w14:textId="77777777" w:rsidR="00770E8D" w:rsidRDefault="00770E8D" w:rsidP="00013F8C">
      <w:pPr>
        <w:pStyle w:val="Titolo3"/>
      </w:pPr>
      <w:r>
        <w:t>MODALITÀ DI ATTIVAZIONE</w:t>
      </w:r>
    </w:p>
    <w:p w14:paraId="607504AB" w14:textId="77777777" w:rsidR="00770E8D" w:rsidRDefault="00770E8D" w:rsidP="00770E8D">
      <w:r>
        <w:t>L’impresa può diventare sponsor di eventi dell’Ateneo con contributi monetari o tecnici oppure, a fronte di specifici accordi, co-realizzare iniziative in collaborazione con l’ente</w:t>
      </w:r>
    </w:p>
    <w:p w14:paraId="4BAAB462" w14:textId="77777777" w:rsidR="00770E8D" w:rsidRDefault="00770E8D" w:rsidP="00013F8C">
      <w:pPr>
        <w:pStyle w:val="Titolo3"/>
      </w:pPr>
      <w:r>
        <w:t>DURATA</w:t>
      </w:r>
    </w:p>
    <w:p w14:paraId="6ED6E067" w14:textId="77777777" w:rsidR="00770E8D" w:rsidRDefault="00770E8D" w:rsidP="00770E8D">
      <w:r>
        <w:t>Variabile</w:t>
      </w:r>
    </w:p>
    <w:p w14:paraId="72546E9E" w14:textId="77777777" w:rsidR="00770E8D" w:rsidRDefault="00770E8D" w:rsidP="00013F8C">
      <w:pPr>
        <w:pStyle w:val="Titolo3"/>
      </w:pPr>
      <w:r>
        <w:t>NORMATIVA</w:t>
      </w:r>
    </w:p>
    <w:p w14:paraId="2C24A387" w14:textId="1699D20D" w:rsidR="00770E8D" w:rsidRDefault="00770E8D" w:rsidP="0041465B">
      <w:pPr>
        <w:pStyle w:val="Puntoelenco"/>
      </w:pPr>
      <w:r>
        <w:t>Legge n. 240 del 30.12.2010</w:t>
      </w:r>
    </w:p>
    <w:p w14:paraId="14A23CE6" w14:textId="6FF9657E" w:rsidR="00770E8D" w:rsidRDefault="00770E8D" w:rsidP="0041465B">
      <w:pPr>
        <w:pStyle w:val="Puntoelenco"/>
      </w:pPr>
      <w:r>
        <w:t>Regolamenti vari</w:t>
      </w:r>
    </w:p>
    <w:p w14:paraId="776C873C" w14:textId="3C05AB5E" w:rsidR="00B82467" w:rsidRDefault="00B82467" w:rsidP="00B82467">
      <w:pPr>
        <w:pStyle w:val="Titolo3"/>
      </w:pPr>
      <w:r>
        <w:t>RIFERIMENTO</w:t>
      </w:r>
    </w:p>
    <w:p w14:paraId="2F0708A4" w14:textId="58CBAA36" w:rsidR="00770E8D" w:rsidRDefault="00B82467" w:rsidP="00770E8D">
      <w:r w:rsidRPr="00B82467">
        <w:t>Area Comunicazione</w:t>
      </w:r>
    </w:p>
    <w:p w14:paraId="177A574B" w14:textId="77777777" w:rsidR="00770E8D" w:rsidRDefault="00770E8D">
      <w:r>
        <w:br w:type="page"/>
      </w:r>
    </w:p>
    <w:p w14:paraId="3BE34130" w14:textId="4AAADA02" w:rsidR="00770E8D" w:rsidRDefault="00770E8D" w:rsidP="00013F8C">
      <w:pPr>
        <w:pStyle w:val="Titolo2"/>
      </w:pPr>
      <w:r>
        <w:lastRenderedPageBreak/>
        <w:t>DONAZIONI</w:t>
      </w:r>
    </w:p>
    <w:p w14:paraId="18489E77" w14:textId="77777777" w:rsidR="00770E8D" w:rsidRDefault="00770E8D" w:rsidP="00770E8D">
      <w:r>
        <w:t>Imprese e soggetti terzi possono sostenere e finanziare la ricerca scientifica, la didattica o attività istituzionali in generale attraverso le donazioni.</w:t>
      </w:r>
    </w:p>
    <w:p w14:paraId="34F3EE68" w14:textId="77777777" w:rsidR="00770E8D" w:rsidRDefault="00770E8D" w:rsidP="00770E8D">
      <w:r>
        <w:t>Le erogazioni liberali possono essere finalizzate anche a specifici settori o a determinate iniziative come cattedre intitolate e a termine e laboratori intitolati e a termine per lo sviluppo di attività di ricerca su temi comuni.</w:t>
      </w:r>
    </w:p>
    <w:p w14:paraId="6987F26C" w14:textId="77777777" w:rsidR="00770E8D" w:rsidRDefault="00770E8D" w:rsidP="00013F8C">
      <w:pPr>
        <w:pStyle w:val="Titolo3"/>
      </w:pPr>
      <w:r>
        <w:t>VANTAGGI PER LE IMPRESE</w:t>
      </w:r>
    </w:p>
    <w:p w14:paraId="1F6C0C54" w14:textId="6C41821C" w:rsidR="00770E8D" w:rsidRDefault="00770E8D" w:rsidP="0041465B">
      <w:pPr>
        <w:pStyle w:val="Puntoelenco"/>
      </w:pPr>
      <w:r>
        <w:t>Visibilità sociale</w:t>
      </w:r>
    </w:p>
    <w:p w14:paraId="0F21A5FF" w14:textId="3F2A20C9" w:rsidR="00770E8D" w:rsidRDefault="00770E8D" w:rsidP="0041465B">
      <w:pPr>
        <w:pStyle w:val="Puntoelenco"/>
      </w:pPr>
      <w:r>
        <w:t>Omaggio alla memoria di personalità</w:t>
      </w:r>
    </w:p>
    <w:p w14:paraId="18E9D2F3" w14:textId="353025DF" w:rsidR="00770E8D" w:rsidRDefault="00770E8D" w:rsidP="0041465B">
      <w:pPr>
        <w:pStyle w:val="Puntoelenco"/>
      </w:pPr>
      <w:r>
        <w:t>Sostegno all’istituzione accademica e a specifiche attività di ricerca o didattica</w:t>
      </w:r>
    </w:p>
    <w:p w14:paraId="5D4E674D" w14:textId="5183D869" w:rsidR="00770E8D" w:rsidRDefault="00770E8D" w:rsidP="0041465B">
      <w:pPr>
        <w:pStyle w:val="Puntoelenco"/>
      </w:pPr>
      <w:r>
        <w:t>Consolidamento delle relazioni tra azienda e Università</w:t>
      </w:r>
    </w:p>
    <w:p w14:paraId="23DDE990" w14:textId="073AF386" w:rsidR="00770E8D" w:rsidRDefault="00770E8D" w:rsidP="0041465B">
      <w:pPr>
        <w:pStyle w:val="Puntoelenco"/>
      </w:pPr>
      <w:r>
        <w:t>Valorizzazione del brand aziendale</w:t>
      </w:r>
    </w:p>
    <w:p w14:paraId="13560511" w14:textId="29BC7AAE" w:rsidR="00770E8D" w:rsidRDefault="00770E8D" w:rsidP="0041465B">
      <w:pPr>
        <w:pStyle w:val="Puntoelenco"/>
      </w:pPr>
      <w:r>
        <w:t xml:space="preserve">Citazione di chi ha donato nel sito web di </w:t>
      </w:r>
      <w:proofErr w:type="spellStart"/>
      <w:r w:rsidR="00D11D1A">
        <w:t>U</w:t>
      </w:r>
      <w:r>
        <w:t>nivr</w:t>
      </w:r>
      <w:proofErr w:type="spellEnd"/>
      <w:r>
        <w:t xml:space="preserve"> </w:t>
      </w:r>
    </w:p>
    <w:p w14:paraId="660D2927" w14:textId="68B6A53D" w:rsidR="00770E8D" w:rsidRDefault="00770E8D" w:rsidP="0041465B">
      <w:pPr>
        <w:pStyle w:val="Puntoelenco"/>
      </w:pPr>
      <w:r>
        <w:t>Organizzazione di un evento istituzionale del/i donatore/i</w:t>
      </w:r>
    </w:p>
    <w:p w14:paraId="26EC2D3E" w14:textId="77777777" w:rsidR="00770E8D" w:rsidRDefault="00770E8D" w:rsidP="00013F8C">
      <w:pPr>
        <w:pStyle w:val="Titolo3"/>
      </w:pPr>
      <w:r>
        <w:t>AGEVOLAZIONI FISCALI</w:t>
      </w:r>
    </w:p>
    <w:p w14:paraId="4D90792A" w14:textId="1D16C678" w:rsidR="00770E8D" w:rsidRDefault="00770E8D" w:rsidP="0041465B">
      <w:pPr>
        <w:pStyle w:val="Puntoelenco"/>
      </w:pPr>
      <w:r>
        <w:t>Deducibilità ed agevolazioni per liberalità</w:t>
      </w:r>
    </w:p>
    <w:p w14:paraId="3A8531B3" w14:textId="24C700C8" w:rsidR="00770E8D" w:rsidRDefault="00770E8D" w:rsidP="0041465B">
      <w:pPr>
        <w:pStyle w:val="Puntoelenco"/>
      </w:pPr>
      <w:r>
        <w:t xml:space="preserve">Detrazione 100% della donazione a </w:t>
      </w:r>
      <w:proofErr w:type="spellStart"/>
      <w:r>
        <w:t>Univr</w:t>
      </w:r>
      <w:proofErr w:type="spellEnd"/>
    </w:p>
    <w:p w14:paraId="32E5CB10" w14:textId="77777777" w:rsidR="00770E8D" w:rsidRDefault="00770E8D" w:rsidP="00013F8C">
      <w:pPr>
        <w:pStyle w:val="Titolo3"/>
      </w:pPr>
      <w:r>
        <w:t>MODALITÀ DI ATTIVAZIONE</w:t>
      </w:r>
    </w:p>
    <w:p w14:paraId="34ABF5F6" w14:textId="77777777" w:rsidR="00770E8D" w:rsidRDefault="00770E8D" w:rsidP="00770E8D">
      <w:r>
        <w:t>L’impresa può contribuire all’attività dell’Ateneo offrendo una erogazione liberale, destinata alle attività di didattica e di ricerca, anticipando la propria intenzione mediante una lettera di intenti</w:t>
      </w:r>
    </w:p>
    <w:p w14:paraId="7591CDAD" w14:textId="77777777" w:rsidR="00770E8D" w:rsidRDefault="00770E8D" w:rsidP="00013F8C">
      <w:pPr>
        <w:pStyle w:val="Titolo3"/>
      </w:pPr>
      <w:r>
        <w:t>DURATA</w:t>
      </w:r>
    </w:p>
    <w:p w14:paraId="758C5557" w14:textId="77777777" w:rsidR="00770E8D" w:rsidRDefault="00770E8D" w:rsidP="00770E8D">
      <w:r>
        <w:t>Una tantum</w:t>
      </w:r>
    </w:p>
    <w:p w14:paraId="1DC5088A" w14:textId="77777777" w:rsidR="00770E8D" w:rsidRDefault="00770E8D" w:rsidP="00013F8C">
      <w:pPr>
        <w:pStyle w:val="Titolo3"/>
      </w:pPr>
      <w:r>
        <w:t>NORMATIVA</w:t>
      </w:r>
    </w:p>
    <w:p w14:paraId="2AE56482" w14:textId="2D113777" w:rsidR="00770E8D" w:rsidRDefault="00770E8D" w:rsidP="0041465B">
      <w:pPr>
        <w:pStyle w:val="Puntoelenco"/>
      </w:pPr>
      <w:r>
        <w:t>DPR n. 254 del 24.05.2001</w:t>
      </w:r>
    </w:p>
    <w:p w14:paraId="3D4DA8EB" w14:textId="21E1B15C" w:rsidR="00770E8D" w:rsidRDefault="00770E8D" w:rsidP="0041465B">
      <w:pPr>
        <w:pStyle w:val="Puntoelenco"/>
      </w:pPr>
      <w:r>
        <w:t>Legge n. 388 del 23.12.2000</w:t>
      </w:r>
    </w:p>
    <w:p w14:paraId="6756031B" w14:textId="6A0D8A02" w:rsidR="00770E8D" w:rsidRDefault="00770E8D" w:rsidP="0041465B">
      <w:pPr>
        <w:pStyle w:val="Puntoelenco"/>
      </w:pPr>
      <w:r>
        <w:t>Regolamento Università di Verona DR 3789 del 30.04.2021</w:t>
      </w:r>
    </w:p>
    <w:p w14:paraId="0850E01C" w14:textId="59D4C15D" w:rsidR="00EA7AEA" w:rsidRDefault="00EA7AEA" w:rsidP="00EA7AEA">
      <w:pPr>
        <w:pStyle w:val="Titolo3"/>
      </w:pPr>
      <w:r>
        <w:t>RIFERIMENTO</w:t>
      </w:r>
    </w:p>
    <w:p w14:paraId="21B25828" w14:textId="77777777" w:rsidR="00EA7AEA" w:rsidRDefault="00EA7AEA" w:rsidP="00EA7AEA">
      <w:r>
        <w:t>Liaison Office</w:t>
      </w:r>
    </w:p>
    <w:p w14:paraId="69C20470" w14:textId="51ECC308" w:rsidR="00770E8D" w:rsidRDefault="00770E8D" w:rsidP="00770E8D"/>
    <w:p w14:paraId="2EC91B95" w14:textId="77777777" w:rsidR="00770E8D" w:rsidRDefault="00770E8D">
      <w:r>
        <w:br w:type="page"/>
      </w:r>
    </w:p>
    <w:p w14:paraId="53313087" w14:textId="4B73A68C" w:rsidR="00770E8D" w:rsidRDefault="00770E8D" w:rsidP="00013F8C">
      <w:pPr>
        <w:pStyle w:val="Titolo2"/>
      </w:pPr>
      <w:r>
        <w:lastRenderedPageBreak/>
        <w:t>FORMAZIONE STUDENTI E STUDENTESSE</w:t>
      </w:r>
    </w:p>
    <w:p w14:paraId="211F7DD7" w14:textId="77777777" w:rsidR="00770E8D" w:rsidRDefault="00770E8D" w:rsidP="00770E8D">
      <w:r>
        <w:t xml:space="preserve">Durante l’anno accademico, i/le docenti possono prevedere degli interventi formativi da parte delle aziende dedicati a studenti e studentesse nel programma di studio di competenza. Le imprese possono trasmettere la propria esperienza alla comunità studentesca durante iniziative come seminari e case </w:t>
      </w:r>
      <w:proofErr w:type="spellStart"/>
      <w:r>
        <w:t>study</w:t>
      </w:r>
      <w:proofErr w:type="spellEnd"/>
      <w:r>
        <w:t>. Possono inoltre offrire la loro collaborazione a tesisti/e dell’Ateneo o possono ospitare visite aziendali.</w:t>
      </w:r>
    </w:p>
    <w:p w14:paraId="2D71DA99" w14:textId="77777777" w:rsidR="00770E8D" w:rsidRDefault="00770E8D" w:rsidP="00013F8C">
      <w:pPr>
        <w:pStyle w:val="Titolo3"/>
      </w:pPr>
      <w:r>
        <w:t>VANTAGGI PER LE IMPRESE</w:t>
      </w:r>
    </w:p>
    <w:p w14:paraId="03DBF0F5" w14:textId="4762D5B5" w:rsidR="00770E8D" w:rsidRDefault="00770E8D" w:rsidP="0041465B">
      <w:pPr>
        <w:pStyle w:val="Puntoelenco"/>
      </w:pPr>
      <w:r>
        <w:t>Valorizzazione delle eccellenze aziendali tramite testimonianze durante le lezioni</w:t>
      </w:r>
    </w:p>
    <w:p w14:paraId="27B7A486" w14:textId="137869C5" w:rsidR="00770E8D" w:rsidRDefault="00770E8D" w:rsidP="0041465B">
      <w:pPr>
        <w:pStyle w:val="Puntoelenco"/>
      </w:pPr>
      <w:r>
        <w:t>Potenziamento delle conoscenze di studenti e studentesse</w:t>
      </w:r>
    </w:p>
    <w:p w14:paraId="4B2F6107" w14:textId="6E840D22" w:rsidR="00770E8D" w:rsidRDefault="00770E8D" w:rsidP="0041465B">
      <w:pPr>
        <w:pStyle w:val="Puntoelenco"/>
      </w:pPr>
      <w:r>
        <w:t>Valorizzazione del brand aziendale</w:t>
      </w:r>
    </w:p>
    <w:p w14:paraId="73AA13CB" w14:textId="3AB8A1B5" w:rsidR="00770E8D" w:rsidRDefault="00770E8D" w:rsidP="0041465B">
      <w:pPr>
        <w:pStyle w:val="Puntoelenco"/>
      </w:pPr>
      <w:r>
        <w:t>Avvicinamento delle conoscenze teoriche a quelle pratiche di studenti e studentesse</w:t>
      </w:r>
    </w:p>
    <w:p w14:paraId="7971A5B5" w14:textId="77777777" w:rsidR="00770E8D" w:rsidRDefault="00770E8D" w:rsidP="00013F8C">
      <w:pPr>
        <w:pStyle w:val="Titolo3"/>
      </w:pPr>
      <w:r>
        <w:t>MODALITÀ DI ATTIVAZIONE</w:t>
      </w:r>
    </w:p>
    <w:p w14:paraId="17EF1215" w14:textId="77777777" w:rsidR="00770E8D" w:rsidRDefault="00770E8D" w:rsidP="00770E8D">
      <w:r>
        <w:t>Le imprese possono candidarsi per portare la propria esperienza a studenti e studentesse dell’Università di Verona concorrendo alla loro formazione nell’ambito dei percorsi di didattica</w:t>
      </w:r>
    </w:p>
    <w:p w14:paraId="05FEB258" w14:textId="77777777" w:rsidR="00770E8D" w:rsidRDefault="00770E8D" w:rsidP="00013F8C">
      <w:pPr>
        <w:pStyle w:val="Titolo3"/>
      </w:pPr>
      <w:r>
        <w:t>DURATA</w:t>
      </w:r>
    </w:p>
    <w:p w14:paraId="170C7F36" w14:textId="77777777" w:rsidR="00770E8D" w:rsidRDefault="00770E8D" w:rsidP="00770E8D">
      <w:r>
        <w:t>Variabile</w:t>
      </w:r>
    </w:p>
    <w:p w14:paraId="1CE82E28" w14:textId="77777777" w:rsidR="00770E8D" w:rsidRDefault="00770E8D" w:rsidP="00013F8C">
      <w:pPr>
        <w:pStyle w:val="Titolo3"/>
      </w:pPr>
      <w:r>
        <w:t>NORMATIVA</w:t>
      </w:r>
    </w:p>
    <w:p w14:paraId="123F884E" w14:textId="5C839949" w:rsidR="00770E8D" w:rsidRDefault="00770E8D" w:rsidP="0041465B">
      <w:pPr>
        <w:pStyle w:val="Puntoelenco"/>
      </w:pPr>
      <w:r>
        <w:t>Legge n. 240 del 30.12.2010</w:t>
      </w:r>
    </w:p>
    <w:p w14:paraId="2A5CCEA9" w14:textId="6CA4425C" w:rsidR="00770E8D" w:rsidRDefault="00770E8D" w:rsidP="0041465B">
      <w:pPr>
        <w:pStyle w:val="Puntoelenco"/>
      </w:pPr>
      <w:r>
        <w:t>Regolamenti vari</w:t>
      </w:r>
    </w:p>
    <w:p w14:paraId="349EF277" w14:textId="77777777" w:rsidR="00EA7AEA" w:rsidRDefault="00EA7AEA" w:rsidP="00EA7AEA">
      <w:pPr>
        <w:pStyle w:val="Titolo3"/>
      </w:pPr>
      <w:r>
        <w:t>RIFERIMENTO</w:t>
      </w:r>
    </w:p>
    <w:p w14:paraId="4570F752" w14:textId="109B8AB8" w:rsidR="00770E8D" w:rsidRDefault="00EA7AEA" w:rsidP="00770E8D">
      <w:r w:rsidRPr="00EA7AEA">
        <w:t>Segreterie Dipartimenti e delle Scuole</w:t>
      </w:r>
      <w:r w:rsidR="00770E8D">
        <w:t> </w:t>
      </w:r>
    </w:p>
    <w:p w14:paraId="06CAA6CF" w14:textId="77777777" w:rsidR="00770E8D" w:rsidRDefault="00770E8D">
      <w:r>
        <w:br w:type="page"/>
      </w:r>
    </w:p>
    <w:p w14:paraId="19CCDB09" w14:textId="7433EAFB" w:rsidR="00770E8D" w:rsidRDefault="00770E8D" w:rsidP="00013F8C">
      <w:pPr>
        <w:pStyle w:val="Titolo2"/>
      </w:pPr>
      <w:r>
        <w:lastRenderedPageBreak/>
        <w:t>RICERCATORI E RICERCATRICI A TEMPO DETERMINATO</w:t>
      </w:r>
    </w:p>
    <w:p w14:paraId="62FB9E5E" w14:textId="77777777" w:rsidR="00770E8D" w:rsidRDefault="00770E8D" w:rsidP="00770E8D">
      <w:r>
        <w:t>L’Università può stipulare contratti di lavoro subordinato a tempo determinato con studiosi e studiose in possesso del dottorato di ricerca o titolo equivalente o del diploma di specializzazione medica per i settori interessati.</w:t>
      </w:r>
    </w:p>
    <w:p w14:paraId="69F75B88" w14:textId="77777777" w:rsidR="00770E8D" w:rsidRDefault="00770E8D" w:rsidP="00770E8D">
      <w:r>
        <w:t>I ricercatori e le ricercatrici, figure di elevata professionalità scientifica, individuati/e mediante concorso pubblico, svolgono attività di ricerca, di didattica, di didattica integrativa e di servizio a studenti e studentesse.</w:t>
      </w:r>
    </w:p>
    <w:p w14:paraId="1CA0756E" w14:textId="77777777" w:rsidR="00770E8D" w:rsidRDefault="00770E8D" w:rsidP="00013F8C">
      <w:pPr>
        <w:pStyle w:val="Titolo3"/>
      </w:pPr>
      <w:r>
        <w:t>VANTAGGI PER LE IMPRESE</w:t>
      </w:r>
    </w:p>
    <w:p w14:paraId="52C5C08C" w14:textId="7C1F0E1B" w:rsidR="00770E8D" w:rsidRDefault="00770E8D" w:rsidP="00BD2D0D">
      <w:pPr>
        <w:pStyle w:val="Puntoelenco"/>
      </w:pPr>
      <w:r>
        <w:t>Visibilità sociale</w:t>
      </w:r>
    </w:p>
    <w:p w14:paraId="07788E8F" w14:textId="4D065018" w:rsidR="00770E8D" w:rsidRDefault="00770E8D" w:rsidP="00BD2D0D">
      <w:pPr>
        <w:pStyle w:val="Puntoelenco"/>
      </w:pPr>
      <w:r>
        <w:t>Sostegno all’istituzione accademica e a specifiche attività di ricerca o didattica</w:t>
      </w:r>
    </w:p>
    <w:p w14:paraId="3701B34E" w14:textId="339C5EAA" w:rsidR="00770E8D" w:rsidRDefault="00770E8D" w:rsidP="00BD2D0D">
      <w:pPr>
        <w:pStyle w:val="Puntoelenco"/>
      </w:pPr>
      <w:r>
        <w:t>Consolidamento delle relazioni tra azienda e Università</w:t>
      </w:r>
    </w:p>
    <w:p w14:paraId="57488962" w14:textId="4293487C" w:rsidR="00770E8D" w:rsidRDefault="00770E8D" w:rsidP="00BD2D0D">
      <w:pPr>
        <w:pStyle w:val="Puntoelenco"/>
      </w:pPr>
      <w:r>
        <w:t>Valorizzazione del brand aziendale</w:t>
      </w:r>
    </w:p>
    <w:p w14:paraId="55F4BD93" w14:textId="77777777" w:rsidR="00770E8D" w:rsidRDefault="00770E8D" w:rsidP="00013F8C">
      <w:pPr>
        <w:pStyle w:val="Titolo3"/>
      </w:pPr>
      <w:r>
        <w:t>MODALITÀ DI ATTIVAZIONE</w:t>
      </w:r>
    </w:p>
    <w:p w14:paraId="2919A465" w14:textId="77777777" w:rsidR="00770E8D" w:rsidRDefault="00770E8D" w:rsidP="00770E8D">
      <w:r>
        <w:t>Imprese e soggetti esterni possono finanziare totalmente il costo del contratto, mediante una convenzione con l’Ateneo</w:t>
      </w:r>
    </w:p>
    <w:p w14:paraId="26323966" w14:textId="77777777" w:rsidR="00770E8D" w:rsidRDefault="00770E8D" w:rsidP="00013F8C">
      <w:pPr>
        <w:pStyle w:val="Titolo3"/>
      </w:pPr>
      <w:r>
        <w:t>DURATA</w:t>
      </w:r>
    </w:p>
    <w:p w14:paraId="6FD0B593" w14:textId="77777777" w:rsidR="00770E8D" w:rsidRDefault="00770E8D" w:rsidP="00770E8D">
      <w:r>
        <w:t>La durata del contratto di ricercatore e ricercatrice è di tre anni con possibilità di rinnovo per ulteriori due anni</w:t>
      </w:r>
    </w:p>
    <w:p w14:paraId="1313AEC1" w14:textId="77777777" w:rsidR="00770E8D" w:rsidRDefault="00770E8D" w:rsidP="00013F8C">
      <w:pPr>
        <w:pStyle w:val="Titolo3"/>
      </w:pPr>
      <w:r>
        <w:t>NORMATIVA</w:t>
      </w:r>
    </w:p>
    <w:p w14:paraId="7523DE34" w14:textId="5AF2A60A" w:rsidR="00770E8D" w:rsidRDefault="00770E8D" w:rsidP="00BD2D0D">
      <w:pPr>
        <w:pStyle w:val="Puntoelenco"/>
      </w:pPr>
      <w:r>
        <w:t>Legge n. 240 del 30.12.2010, art. 22</w:t>
      </w:r>
    </w:p>
    <w:p w14:paraId="1BF24CF0" w14:textId="0C32AD1F" w:rsidR="00770E8D" w:rsidRDefault="00770E8D" w:rsidP="00BD2D0D">
      <w:pPr>
        <w:pStyle w:val="Puntoelenco"/>
      </w:pPr>
      <w:r>
        <w:t>Regolamento Università di Verona DR n. 1011 del 06.07.2016 </w:t>
      </w:r>
    </w:p>
    <w:p w14:paraId="41D0F819" w14:textId="77777777" w:rsidR="00EA7AEA" w:rsidRDefault="00EA7AEA" w:rsidP="00EA7AEA">
      <w:pPr>
        <w:pStyle w:val="Titolo3"/>
      </w:pPr>
      <w:r>
        <w:t>RIFERIMENTO</w:t>
      </w:r>
    </w:p>
    <w:p w14:paraId="41B57B86" w14:textId="60995A6F" w:rsidR="00770E8D" w:rsidRDefault="00EA7AEA" w:rsidP="00EA7AEA">
      <w:r w:rsidRPr="00EA7AEA">
        <w:t>Segreterie Dipartimenti e delle Scuole</w:t>
      </w:r>
      <w:r>
        <w:t xml:space="preserve"> </w:t>
      </w:r>
      <w:r w:rsidR="00770E8D">
        <w:br w:type="page"/>
      </w:r>
    </w:p>
    <w:p w14:paraId="397E46D0" w14:textId="54268752" w:rsidR="00770E8D" w:rsidRDefault="00770E8D" w:rsidP="00013F8C">
      <w:pPr>
        <w:pStyle w:val="Titolo1"/>
      </w:pPr>
      <w:r>
        <w:lastRenderedPageBreak/>
        <w:t>C</w:t>
      </w:r>
      <w:r w:rsidR="00CC5789">
        <w:t>ontatti</w:t>
      </w:r>
    </w:p>
    <w:p w14:paraId="3C6F792C" w14:textId="77777777" w:rsidR="00770E8D" w:rsidRDefault="00770E8D" w:rsidP="00CC5789">
      <w:pPr>
        <w:pStyle w:val="Titolo2"/>
      </w:pPr>
      <w:r>
        <w:t>Liaison Office</w:t>
      </w:r>
    </w:p>
    <w:p w14:paraId="1B885E22" w14:textId="77777777" w:rsidR="00770E8D" w:rsidRPr="00CC5789" w:rsidRDefault="00770E8D" w:rsidP="00CC5789">
      <w:pPr>
        <w:rPr>
          <w:b/>
          <w:bCs/>
        </w:rPr>
      </w:pPr>
      <w:r w:rsidRPr="00CC5789">
        <w:rPr>
          <w:b/>
          <w:bCs/>
        </w:rPr>
        <w:t>Area Ricerca</w:t>
      </w:r>
    </w:p>
    <w:p w14:paraId="59900D53" w14:textId="77777777" w:rsidR="00770E8D" w:rsidRDefault="00770E8D" w:rsidP="00770E8D">
      <w:r>
        <w:t xml:space="preserve">Via San Francesco, 22 - 37129 Verona </w:t>
      </w:r>
    </w:p>
    <w:p w14:paraId="065C143B" w14:textId="77777777" w:rsidR="00770E8D" w:rsidRDefault="00770E8D" w:rsidP="00770E8D">
      <w:proofErr w:type="spellStart"/>
      <w:r>
        <w:t>Tel</w:t>
      </w:r>
      <w:proofErr w:type="spellEnd"/>
      <w:r>
        <w:t>: +39 045802 8070 - 8357 - 8399</w:t>
      </w:r>
    </w:p>
    <w:p w14:paraId="1580BE34" w14:textId="77777777" w:rsidR="00770E8D" w:rsidRPr="00CC5789" w:rsidRDefault="00770E8D" w:rsidP="00770E8D">
      <w:pPr>
        <w:rPr>
          <w:rStyle w:val="Collegamentoipertestuale"/>
        </w:rPr>
      </w:pPr>
      <w:r>
        <w:t xml:space="preserve">e-mail: </w:t>
      </w:r>
      <w:r w:rsidRPr="00CC5789">
        <w:rPr>
          <w:rStyle w:val="Collegamentoipertestuale"/>
        </w:rPr>
        <w:t>sviluppo.ricerca@ateneo.univr.it</w:t>
      </w:r>
    </w:p>
    <w:p w14:paraId="070D8F29" w14:textId="77777777" w:rsidR="00770E8D" w:rsidRPr="00CC5789" w:rsidRDefault="00770E8D" w:rsidP="00770E8D">
      <w:pPr>
        <w:rPr>
          <w:rStyle w:val="Collegamentoipertestuale"/>
        </w:rPr>
      </w:pPr>
      <w:r w:rsidRPr="00CC5789">
        <w:rPr>
          <w:rStyle w:val="Collegamentoipertestuale"/>
        </w:rPr>
        <w:t>www.univr.it/liaison-office</w:t>
      </w:r>
    </w:p>
    <w:p w14:paraId="79E870EE" w14:textId="77777777" w:rsidR="00770E8D" w:rsidRDefault="00770E8D" w:rsidP="00CC5789">
      <w:pPr>
        <w:pStyle w:val="Titolo2"/>
      </w:pPr>
      <w:r>
        <w:t>Ufficio Dottorati di Ricerca</w:t>
      </w:r>
    </w:p>
    <w:p w14:paraId="65415EA2" w14:textId="77777777" w:rsidR="00770E8D" w:rsidRPr="00CC5789" w:rsidRDefault="00770E8D" w:rsidP="00CC5789">
      <w:pPr>
        <w:rPr>
          <w:b/>
          <w:bCs/>
        </w:rPr>
      </w:pPr>
      <w:r w:rsidRPr="00CC5789">
        <w:rPr>
          <w:b/>
          <w:bCs/>
        </w:rPr>
        <w:t>Area Ricerca</w:t>
      </w:r>
    </w:p>
    <w:p w14:paraId="17D85694" w14:textId="77777777" w:rsidR="00770E8D" w:rsidRDefault="00770E8D" w:rsidP="00770E8D">
      <w:r>
        <w:t xml:space="preserve">Via San Francesco, 22 - 37129 Verona </w:t>
      </w:r>
    </w:p>
    <w:p w14:paraId="617E2A8E" w14:textId="77777777" w:rsidR="00770E8D" w:rsidRPr="00C07AA8" w:rsidRDefault="00770E8D" w:rsidP="00770E8D">
      <w:proofErr w:type="spellStart"/>
      <w:r w:rsidRPr="00C07AA8">
        <w:t>Tel</w:t>
      </w:r>
      <w:proofErr w:type="spellEnd"/>
      <w:r w:rsidRPr="00C07AA8">
        <w:t>: +39 045802 8092 - 8078</w:t>
      </w:r>
    </w:p>
    <w:p w14:paraId="40336BAB" w14:textId="77777777" w:rsidR="00770E8D" w:rsidRPr="00C07AA8" w:rsidRDefault="00770E8D" w:rsidP="00770E8D">
      <w:pPr>
        <w:rPr>
          <w:rStyle w:val="Collegamentoipertestuale"/>
        </w:rPr>
      </w:pPr>
      <w:r w:rsidRPr="00C07AA8">
        <w:t xml:space="preserve">e-mail: </w:t>
      </w:r>
      <w:r w:rsidRPr="00C07AA8">
        <w:rPr>
          <w:rStyle w:val="Collegamentoipertestuale"/>
        </w:rPr>
        <w:t>dottorati.ricerca@ateneo.univr.it</w:t>
      </w:r>
    </w:p>
    <w:p w14:paraId="0FB6500C" w14:textId="77777777" w:rsidR="00770E8D" w:rsidRPr="00C07AA8" w:rsidRDefault="00770E8D" w:rsidP="00770E8D">
      <w:pPr>
        <w:rPr>
          <w:rStyle w:val="Collegamentoipertestuale"/>
        </w:rPr>
      </w:pPr>
      <w:r w:rsidRPr="00C07AA8">
        <w:rPr>
          <w:rStyle w:val="Collegamentoipertestuale"/>
        </w:rPr>
        <w:t>www.univr.it/dottorati-di-ricerca</w:t>
      </w:r>
    </w:p>
    <w:p w14:paraId="43F66908" w14:textId="77777777" w:rsidR="00B82467" w:rsidRPr="00B82467" w:rsidRDefault="00B82467" w:rsidP="00B82467">
      <w:pPr>
        <w:pStyle w:val="Titolo2"/>
      </w:pPr>
      <w:r w:rsidRPr="00B82467">
        <w:t>Area Comunicazione</w:t>
      </w:r>
    </w:p>
    <w:p w14:paraId="5F282FDF" w14:textId="77777777" w:rsidR="00B82467" w:rsidRPr="00B82467" w:rsidRDefault="00B82467" w:rsidP="00B82467">
      <w:r w:rsidRPr="00B82467">
        <w:t xml:space="preserve">Via Dell'Artigliere, 8 - 37129 Verona </w:t>
      </w:r>
    </w:p>
    <w:p w14:paraId="23C1614B" w14:textId="77777777" w:rsidR="00B82467" w:rsidRPr="00B82467" w:rsidRDefault="00B82467" w:rsidP="00B82467">
      <w:proofErr w:type="spellStart"/>
      <w:r w:rsidRPr="00B82467">
        <w:t>Tel</w:t>
      </w:r>
      <w:proofErr w:type="spellEnd"/>
      <w:r w:rsidRPr="00B82467">
        <w:t>: +39 045802 8030 - 8633</w:t>
      </w:r>
    </w:p>
    <w:p w14:paraId="4CBE4792" w14:textId="77777777" w:rsidR="00B82467" w:rsidRPr="00B82467" w:rsidRDefault="00B82467" w:rsidP="00B82467">
      <w:r w:rsidRPr="00B82467">
        <w:t xml:space="preserve">e-mail: </w:t>
      </w:r>
      <w:r w:rsidRPr="00B82467">
        <w:rPr>
          <w:rStyle w:val="Collegamentoipertestuale"/>
        </w:rPr>
        <w:t>eventi@ateneo.univr.it</w:t>
      </w:r>
    </w:p>
    <w:p w14:paraId="77240A19" w14:textId="3ACC9743" w:rsidR="00B82467" w:rsidRPr="00B82467" w:rsidRDefault="00B82467" w:rsidP="00B82467">
      <w:pPr>
        <w:rPr>
          <w:rStyle w:val="Collegamentoipertestuale"/>
        </w:rPr>
      </w:pPr>
      <w:r w:rsidRPr="00B82467">
        <w:rPr>
          <w:rStyle w:val="Collegamentoipertestuale"/>
        </w:rPr>
        <w:t>www.univr.it/it/terza-missione</w:t>
      </w:r>
    </w:p>
    <w:p w14:paraId="367CCB09" w14:textId="184DAE4A" w:rsidR="00770E8D" w:rsidRPr="00770E8D" w:rsidRDefault="00770E8D" w:rsidP="00CC5789">
      <w:pPr>
        <w:pStyle w:val="Titolo2"/>
        <w:rPr>
          <w:lang w:val="en-US"/>
        </w:rPr>
      </w:pPr>
      <w:proofErr w:type="spellStart"/>
      <w:r w:rsidRPr="00770E8D">
        <w:rPr>
          <w:lang w:val="en-US"/>
        </w:rPr>
        <w:t>Ufficio</w:t>
      </w:r>
      <w:proofErr w:type="spellEnd"/>
      <w:r w:rsidRPr="00770E8D">
        <w:rPr>
          <w:lang w:val="en-US"/>
        </w:rPr>
        <w:t xml:space="preserve"> Job Placement</w:t>
      </w:r>
    </w:p>
    <w:p w14:paraId="6C85E046" w14:textId="77777777" w:rsidR="00770E8D" w:rsidRPr="00C07AA8" w:rsidRDefault="00770E8D" w:rsidP="00CC5789">
      <w:pPr>
        <w:rPr>
          <w:b/>
          <w:bCs/>
          <w:lang w:val="en-US"/>
        </w:rPr>
      </w:pPr>
      <w:r w:rsidRPr="00C07AA8">
        <w:rPr>
          <w:b/>
          <w:bCs/>
          <w:lang w:val="en-US"/>
        </w:rPr>
        <w:t xml:space="preserve">Area Post </w:t>
      </w:r>
      <w:proofErr w:type="spellStart"/>
      <w:r w:rsidRPr="00C07AA8">
        <w:rPr>
          <w:b/>
          <w:bCs/>
          <w:lang w:val="en-US"/>
        </w:rPr>
        <w:t>Lauream</w:t>
      </w:r>
      <w:proofErr w:type="spellEnd"/>
      <w:r w:rsidRPr="00C07AA8">
        <w:rPr>
          <w:b/>
          <w:bCs/>
          <w:lang w:val="en-US"/>
        </w:rPr>
        <w:t xml:space="preserve"> e </w:t>
      </w:r>
      <w:proofErr w:type="spellStart"/>
      <w:r w:rsidRPr="00C07AA8">
        <w:rPr>
          <w:b/>
          <w:bCs/>
          <w:lang w:val="en-US"/>
        </w:rPr>
        <w:t>Inclusione</w:t>
      </w:r>
      <w:proofErr w:type="spellEnd"/>
    </w:p>
    <w:p w14:paraId="66F9CC9F" w14:textId="77777777" w:rsidR="00770E8D" w:rsidRDefault="00770E8D" w:rsidP="00770E8D">
      <w:r>
        <w:t xml:space="preserve">Via San Francesco, 22 - 37129 Verona </w:t>
      </w:r>
    </w:p>
    <w:p w14:paraId="182BDEE2" w14:textId="77777777" w:rsidR="00770E8D" w:rsidRDefault="00770E8D" w:rsidP="00770E8D">
      <w:proofErr w:type="spellStart"/>
      <w:r>
        <w:t>Tel</w:t>
      </w:r>
      <w:proofErr w:type="spellEnd"/>
      <w:r>
        <w:t>: +39 045 802 8664 - 8022 - 8191</w:t>
      </w:r>
    </w:p>
    <w:p w14:paraId="661245E3" w14:textId="77777777" w:rsidR="00770E8D" w:rsidRPr="00CC5789" w:rsidRDefault="00770E8D" w:rsidP="00770E8D">
      <w:pPr>
        <w:rPr>
          <w:rStyle w:val="Collegamentoipertestuale"/>
        </w:rPr>
      </w:pPr>
      <w:r>
        <w:t xml:space="preserve">e-mail: </w:t>
      </w:r>
      <w:r w:rsidRPr="00CC5789">
        <w:rPr>
          <w:rStyle w:val="Collegamentoipertestuale"/>
        </w:rPr>
        <w:t>placement@ateneo.univr.it</w:t>
      </w:r>
    </w:p>
    <w:p w14:paraId="661001BC" w14:textId="77777777" w:rsidR="00770E8D" w:rsidRPr="00CC5789" w:rsidRDefault="00770E8D" w:rsidP="00770E8D">
      <w:pPr>
        <w:rPr>
          <w:rStyle w:val="Collegamentoipertestuale"/>
        </w:rPr>
      </w:pPr>
      <w:r w:rsidRPr="00CC5789">
        <w:rPr>
          <w:rStyle w:val="Collegamentoipertestuale"/>
        </w:rPr>
        <w:t>www.univr.it/job-placement-aziende</w:t>
      </w:r>
    </w:p>
    <w:p w14:paraId="44DFC838" w14:textId="77777777" w:rsidR="00770E8D" w:rsidRDefault="00770E8D" w:rsidP="00CC5789">
      <w:pPr>
        <w:pStyle w:val="Titolo2"/>
      </w:pPr>
      <w:r>
        <w:t>Master e corsi di perfezionamento e di aggiornamento professionale e servizio formazione insegnanti</w:t>
      </w:r>
    </w:p>
    <w:p w14:paraId="5810EA01" w14:textId="77777777" w:rsidR="00770E8D" w:rsidRPr="00CC5789" w:rsidRDefault="00770E8D" w:rsidP="00CC5789">
      <w:pPr>
        <w:rPr>
          <w:b/>
          <w:bCs/>
        </w:rPr>
      </w:pPr>
      <w:r w:rsidRPr="00CC5789">
        <w:rPr>
          <w:b/>
          <w:bCs/>
        </w:rPr>
        <w:t xml:space="preserve">Area Post </w:t>
      </w:r>
      <w:proofErr w:type="spellStart"/>
      <w:r w:rsidRPr="00CC5789">
        <w:rPr>
          <w:b/>
          <w:bCs/>
        </w:rPr>
        <w:t>Lauream</w:t>
      </w:r>
      <w:proofErr w:type="spellEnd"/>
      <w:r w:rsidRPr="00CC5789">
        <w:rPr>
          <w:b/>
          <w:bCs/>
        </w:rPr>
        <w:t xml:space="preserve"> e Inclusione</w:t>
      </w:r>
    </w:p>
    <w:p w14:paraId="1BEE0427" w14:textId="77777777" w:rsidR="00770E8D" w:rsidRDefault="00770E8D" w:rsidP="00770E8D">
      <w:r>
        <w:t xml:space="preserve">Via San Francesco, 22 - 37129 Verona </w:t>
      </w:r>
    </w:p>
    <w:p w14:paraId="15221334" w14:textId="77777777" w:rsidR="00770E8D" w:rsidRDefault="00770E8D" w:rsidP="00770E8D">
      <w:proofErr w:type="spellStart"/>
      <w:r>
        <w:t>Tel</w:t>
      </w:r>
      <w:proofErr w:type="spellEnd"/>
      <w:r>
        <w:t>: +39 045 802 8767 - 8260</w:t>
      </w:r>
    </w:p>
    <w:p w14:paraId="57476CDC" w14:textId="77777777" w:rsidR="00770E8D" w:rsidRPr="00CC5789" w:rsidRDefault="00770E8D" w:rsidP="00770E8D">
      <w:pPr>
        <w:rPr>
          <w:rStyle w:val="Collegamentoipertestuale"/>
        </w:rPr>
      </w:pPr>
      <w:r>
        <w:t xml:space="preserve">e-mail: </w:t>
      </w:r>
      <w:r w:rsidRPr="00CC5789">
        <w:rPr>
          <w:rStyle w:val="Collegamentoipertestuale"/>
        </w:rPr>
        <w:t>segreteria.master@ateneo.univr.it</w:t>
      </w:r>
    </w:p>
    <w:p w14:paraId="6A280BE3" w14:textId="77777777" w:rsidR="00770E8D" w:rsidRPr="00CC5789" w:rsidRDefault="00770E8D" w:rsidP="00770E8D">
      <w:pPr>
        <w:rPr>
          <w:rStyle w:val="Collegamentoipertestuale"/>
        </w:rPr>
      </w:pPr>
      <w:r w:rsidRPr="00CC5789">
        <w:rPr>
          <w:rStyle w:val="Collegamentoipertestuale"/>
        </w:rPr>
        <w:t>www.univr.it/didattica-post-lauream</w:t>
      </w:r>
    </w:p>
    <w:p w14:paraId="100CFAB7" w14:textId="77777777" w:rsidR="00770E8D" w:rsidRDefault="00770E8D" w:rsidP="00CC5789">
      <w:pPr>
        <w:pStyle w:val="Titolo2"/>
      </w:pPr>
      <w:r>
        <w:lastRenderedPageBreak/>
        <w:t>Ufficio Stage e Tirocini</w:t>
      </w:r>
    </w:p>
    <w:p w14:paraId="5CFB0357" w14:textId="77777777" w:rsidR="00770E8D" w:rsidRPr="00CC5789" w:rsidRDefault="00770E8D" w:rsidP="00CC5789">
      <w:pPr>
        <w:rPr>
          <w:b/>
          <w:bCs/>
        </w:rPr>
      </w:pPr>
      <w:r w:rsidRPr="00CC5789">
        <w:rPr>
          <w:b/>
          <w:bCs/>
        </w:rPr>
        <w:t>Area Servizi agli Studenti</w:t>
      </w:r>
    </w:p>
    <w:p w14:paraId="24BBF7AD" w14:textId="77777777" w:rsidR="00770E8D" w:rsidRDefault="00770E8D" w:rsidP="00770E8D">
      <w:r>
        <w:t xml:space="preserve">Via San Francesco, 22 - 37129 Verona </w:t>
      </w:r>
    </w:p>
    <w:p w14:paraId="5A195DDF" w14:textId="77777777" w:rsidR="00770E8D" w:rsidRDefault="00770E8D" w:rsidP="00770E8D">
      <w:proofErr w:type="spellStart"/>
      <w:r>
        <w:t>Tel</w:t>
      </w:r>
      <w:proofErr w:type="spellEnd"/>
      <w:r>
        <w:t>: +39 045 802 8787</w:t>
      </w:r>
    </w:p>
    <w:p w14:paraId="1A330C6E" w14:textId="77777777" w:rsidR="00770E8D" w:rsidRPr="00CC5789" w:rsidRDefault="00770E8D" w:rsidP="00770E8D">
      <w:pPr>
        <w:rPr>
          <w:rStyle w:val="Collegamentoipertestuale"/>
        </w:rPr>
      </w:pPr>
      <w:r>
        <w:t xml:space="preserve">e-mail: </w:t>
      </w:r>
      <w:r w:rsidRPr="00CC5789">
        <w:rPr>
          <w:rStyle w:val="Collegamentoipertestuale"/>
        </w:rPr>
        <w:t>ufficio.stage@ateneo.univr.it</w:t>
      </w:r>
    </w:p>
    <w:p w14:paraId="33709853" w14:textId="77777777" w:rsidR="00770E8D" w:rsidRPr="00CC5789" w:rsidRDefault="00770E8D" w:rsidP="00770E8D">
      <w:pPr>
        <w:rPr>
          <w:rStyle w:val="Collegamentoipertestuale"/>
        </w:rPr>
      </w:pPr>
      <w:r w:rsidRPr="00CC5789">
        <w:rPr>
          <w:rStyle w:val="Collegamentoipertestuale"/>
        </w:rPr>
        <w:t xml:space="preserve">www.univr.it/stage-e-tirocini </w:t>
      </w:r>
    </w:p>
    <w:p w14:paraId="2002DD02" w14:textId="77777777" w:rsidR="00770E8D" w:rsidRDefault="00770E8D" w:rsidP="00CC5789">
      <w:pPr>
        <w:pStyle w:val="Titolo2"/>
      </w:pPr>
      <w:r>
        <w:t>Ufficio Diritto allo Studio</w:t>
      </w:r>
    </w:p>
    <w:p w14:paraId="28E557AB" w14:textId="77777777" w:rsidR="00770E8D" w:rsidRPr="00CC5789" w:rsidRDefault="00770E8D" w:rsidP="00CC5789">
      <w:pPr>
        <w:rPr>
          <w:b/>
          <w:bCs/>
        </w:rPr>
      </w:pPr>
      <w:r w:rsidRPr="00CC5789">
        <w:rPr>
          <w:b/>
          <w:bCs/>
        </w:rPr>
        <w:t>Area Servizi agli Studenti</w:t>
      </w:r>
    </w:p>
    <w:p w14:paraId="0160F41C" w14:textId="77777777" w:rsidR="00770E8D" w:rsidRDefault="00770E8D" w:rsidP="00770E8D">
      <w:r>
        <w:t>Via San Francesco, 22 - 37129 Verona</w:t>
      </w:r>
    </w:p>
    <w:p w14:paraId="7F817BBF" w14:textId="77777777" w:rsidR="00770E8D" w:rsidRDefault="00770E8D" w:rsidP="00770E8D">
      <w:proofErr w:type="spellStart"/>
      <w:r>
        <w:t>Tel</w:t>
      </w:r>
      <w:proofErr w:type="spellEnd"/>
      <w:r>
        <w:t>: +39 045 802 8711</w:t>
      </w:r>
    </w:p>
    <w:p w14:paraId="25753EF8" w14:textId="77777777" w:rsidR="00770E8D" w:rsidRDefault="00770E8D" w:rsidP="00770E8D">
      <w:r>
        <w:t xml:space="preserve">e-mail: </w:t>
      </w:r>
      <w:r w:rsidRPr="00CC5789">
        <w:rPr>
          <w:rStyle w:val="Collegamentoipertestuale"/>
        </w:rPr>
        <w:t>ufficio.dirittostudio@ateneo.univr.it</w:t>
      </w:r>
    </w:p>
    <w:p w14:paraId="77A67AFE" w14:textId="6174803A" w:rsidR="005A74FB" w:rsidRPr="00CC5789" w:rsidRDefault="00770E8D" w:rsidP="00D63236">
      <w:pPr>
        <w:rPr>
          <w:rStyle w:val="Collegamentoipertestuale"/>
        </w:rPr>
      </w:pPr>
      <w:r w:rsidRPr="00CC5789">
        <w:rPr>
          <w:rStyle w:val="Collegamentoipertestuale"/>
        </w:rPr>
        <w:t>www.univr.it/diritto-allo-studio</w:t>
      </w:r>
    </w:p>
    <w:sectPr w:rsidR="005A74FB" w:rsidRPr="00CC5789" w:rsidSect="00EB2710">
      <w:footerReference w:type="even" r:id="rId9"/>
      <w:footerReference w:type="default" r:id="rId10"/>
      <w:pgSz w:w="11906" w:h="16838" w:code="9"/>
      <w:pgMar w:top="1152" w:right="1440" w:bottom="108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37B26" w14:textId="77777777" w:rsidR="004F1CA9" w:rsidRDefault="004F1CA9">
      <w:pPr>
        <w:spacing w:after="0" w:line="240" w:lineRule="auto"/>
      </w:pPr>
      <w:r>
        <w:separator/>
      </w:r>
    </w:p>
  </w:endnote>
  <w:endnote w:type="continuationSeparator" w:id="0">
    <w:p w14:paraId="1BD9902A" w14:textId="77777777" w:rsidR="004F1CA9" w:rsidRDefault="004F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66984437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CB05E3" w14:textId="691CE12A" w:rsidR="00EB2710" w:rsidRDefault="00EB2710" w:rsidP="00E21710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17011268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C0BDE2" w14:textId="13E3E0C2" w:rsidR="004D1217" w:rsidRDefault="004D1217" w:rsidP="00EB2710">
        <w:pPr>
          <w:pStyle w:val="Pidipagina"/>
          <w:framePr w:wrap="none" w:vAnchor="text" w:hAnchor="margin" w:y="1"/>
          <w:ind w:firstLine="360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4651FA7" w14:textId="77777777" w:rsidR="004D1217" w:rsidRDefault="004D1217" w:rsidP="004D121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72719545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D200F5A" w14:textId="4857E7AB" w:rsidR="00EB2710" w:rsidRDefault="00EB2710" w:rsidP="00E21710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5FFE460" w14:textId="66B53A2A" w:rsidR="000E4BF3" w:rsidRPr="0077128F" w:rsidRDefault="000E4BF3" w:rsidP="00EB2710">
    <w:pPr>
      <w:pStyle w:val="Pidipagina"/>
      <w:tabs>
        <w:tab w:val="right" w:pos="9072"/>
      </w:tabs>
      <w:ind w:firstLine="360"/>
      <w:rPr>
        <w:i w:val="0"/>
        <w:iCs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34457" w14:textId="77777777" w:rsidR="004F1CA9" w:rsidRDefault="004F1CA9">
      <w:pPr>
        <w:spacing w:after="0" w:line="240" w:lineRule="auto"/>
      </w:pPr>
      <w:r>
        <w:separator/>
      </w:r>
    </w:p>
  </w:footnote>
  <w:footnote w:type="continuationSeparator" w:id="0">
    <w:p w14:paraId="1B4B45B6" w14:textId="77777777" w:rsidR="004F1CA9" w:rsidRDefault="004F1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FA8CD4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38D82C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54ED48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F0038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12B520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A2E7D0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B8E6B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E5AF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B4A2DE"/>
    <w:lvl w:ilvl="0">
      <w:start w:val="1"/>
      <w:numFmt w:val="decimal"/>
      <w:pStyle w:val="Numeroelenco"/>
      <w:lvlText w:val="%1."/>
      <w:lvlJc w:val="left"/>
      <w:pPr>
        <w:tabs>
          <w:tab w:val="num" w:pos="1008"/>
        </w:tabs>
        <w:ind w:left="288" w:firstLine="432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44846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7A55C5"/>
    <w:multiLevelType w:val="hybridMultilevel"/>
    <w:tmpl w:val="625AA678"/>
    <w:lvl w:ilvl="0" w:tplc="EBAE349A">
      <w:start w:val="1"/>
      <w:numFmt w:val="bullet"/>
      <w:pStyle w:val="Puntoelenco"/>
      <w:lvlText w:val=""/>
      <w:lvlJc w:val="left"/>
      <w:pPr>
        <w:tabs>
          <w:tab w:val="num" w:pos="1008"/>
        </w:tabs>
        <w:ind w:left="288" w:firstLine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80A23"/>
    <w:multiLevelType w:val="hybridMultilevel"/>
    <w:tmpl w:val="1BCEE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7194C"/>
    <w:multiLevelType w:val="hybridMultilevel"/>
    <w:tmpl w:val="7A4409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12C"/>
    <w:rsid w:val="00013F8C"/>
    <w:rsid w:val="000149D6"/>
    <w:rsid w:val="00042DCA"/>
    <w:rsid w:val="00043461"/>
    <w:rsid w:val="00047756"/>
    <w:rsid w:val="000C6E74"/>
    <w:rsid w:val="000D12D2"/>
    <w:rsid w:val="000E4BF3"/>
    <w:rsid w:val="00166549"/>
    <w:rsid w:val="00183512"/>
    <w:rsid w:val="00195FEF"/>
    <w:rsid w:val="001A3AED"/>
    <w:rsid w:val="001E2147"/>
    <w:rsid w:val="0021731A"/>
    <w:rsid w:val="0022044B"/>
    <w:rsid w:val="002250A1"/>
    <w:rsid w:val="002641EB"/>
    <w:rsid w:val="002A20AD"/>
    <w:rsid w:val="002A6D31"/>
    <w:rsid w:val="002D6970"/>
    <w:rsid w:val="002E14E2"/>
    <w:rsid w:val="002F1E5D"/>
    <w:rsid w:val="00303167"/>
    <w:rsid w:val="00304137"/>
    <w:rsid w:val="003212EE"/>
    <w:rsid w:val="00336465"/>
    <w:rsid w:val="003A5F33"/>
    <w:rsid w:val="003D1516"/>
    <w:rsid w:val="00402BD9"/>
    <w:rsid w:val="0041465B"/>
    <w:rsid w:val="00437F06"/>
    <w:rsid w:val="004677BF"/>
    <w:rsid w:val="0049206C"/>
    <w:rsid w:val="004C42C9"/>
    <w:rsid w:val="004D1217"/>
    <w:rsid w:val="004D276C"/>
    <w:rsid w:val="004F1CA9"/>
    <w:rsid w:val="00506FA6"/>
    <w:rsid w:val="00517C2F"/>
    <w:rsid w:val="00595367"/>
    <w:rsid w:val="005A74FB"/>
    <w:rsid w:val="005B5062"/>
    <w:rsid w:val="005D055B"/>
    <w:rsid w:val="005D4593"/>
    <w:rsid w:val="005F2236"/>
    <w:rsid w:val="0064112C"/>
    <w:rsid w:val="00695E51"/>
    <w:rsid w:val="00740EC0"/>
    <w:rsid w:val="007427D8"/>
    <w:rsid w:val="0076471F"/>
    <w:rsid w:val="00770E8D"/>
    <w:rsid w:val="0077128F"/>
    <w:rsid w:val="007F6776"/>
    <w:rsid w:val="007F76F2"/>
    <w:rsid w:val="0081093D"/>
    <w:rsid w:val="00890398"/>
    <w:rsid w:val="00894F21"/>
    <w:rsid w:val="008D0D45"/>
    <w:rsid w:val="00912043"/>
    <w:rsid w:val="00972C76"/>
    <w:rsid w:val="00993D63"/>
    <w:rsid w:val="009C3E75"/>
    <w:rsid w:val="009F7B45"/>
    <w:rsid w:val="00A17938"/>
    <w:rsid w:val="00A727B8"/>
    <w:rsid w:val="00B2003C"/>
    <w:rsid w:val="00B25F29"/>
    <w:rsid w:val="00B37310"/>
    <w:rsid w:val="00B60B40"/>
    <w:rsid w:val="00B82467"/>
    <w:rsid w:val="00BD2D0D"/>
    <w:rsid w:val="00C07AA8"/>
    <w:rsid w:val="00C24299"/>
    <w:rsid w:val="00C3494A"/>
    <w:rsid w:val="00C5157B"/>
    <w:rsid w:val="00C75C06"/>
    <w:rsid w:val="00C919F0"/>
    <w:rsid w:val="00CC5789"/>
    <w:rsid w:val="00D11D1A"/>
    <w:rsid w:val="00D12ED1"/>
    <w:rsid w:val="00D266D1"/>
    <w:rsid w:val="00D5152A"/>
    <w:rsid w:val="00D63236"/>
    <w:rsid w:val="00D64111"/>
    <w:rsid w:val="00D84593"/>
    <w:rsid w:val="00DB7476"/>
    <w:rsid w:val="00DD00A4"/>
    <w:rsid w:val="00DF4FCE"/>
    <w:rsid w:val="00E15BE5"/>
    <w:rsid w:val="00E208C1"/>
    <w:rsid w:val="00E34625"/>
    <w:rsid w:val="00EA7AEA"/>
    <w:rsid w:val="00EB2710"/>
    <w:rsid w:val="00EE027B"/>
    <w:rsid w:val="00EE26C7"/>
    <w:rsid w:val="00F32D60"/>
    <w:rsid w:val="00FD39D6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0D184"/>
  <w15:chartTrackingRefBased/>
  <w15:docId w15:val="{F978391C-3AC1-49F4-94AA-FA8FF1FF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C5C5C" w:themeColor="text2" w:themeTint="BF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093D"/>
    <w:rPr>
      <w:rFonts w:ascii="Calibri Light" w:hAnsi="Calibri Light"/>
      <w:color w:val="343433"/>
      <w:sz w:val="21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81093D"/>
    <w:pPr>
      <w:keepNext/>
      <w:keepLines/>
      <w:spacing w:before="520" w:after="60"/>
      <w:contextualSpacing/>
      <w:outlineLvl w:val="0"/>
    </w:pPr>
    <w:rPr>
      <w:rFonts w:ascii="Calibri" w:eastAsiaTheme="majorEastAsia" w:hAnsi="Calibri" w:cstheme="majorBidi"/>
      <w:sz w:val="42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013F8C"/>
    <w:pPr>
      <w:keepNext/>
      <w:keepLines/>
      <w:spacing w:before="300" w:after="60"/>
      <w:outlineLvl w:val="1"/>
    </w:pPr>
    <w:rPr>
      <w:rFonts w:ascii="Calibri" w:eastAsiaTheme="majorEastAsia" w:hAnsi="Calibri" w:cstheme="majorBidi"/>
      <w:color w:val="D8217C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7F6776"/>
    <w:pPr>
      <w:keepNext/>
      <w:keepLines/>
      <w:spacing w:before="260" w:after="40" w:line="240" w:lineRule="auto"/>
      <w:outlineLvl w:val="2"/>
    </w:pPr>
    <w:rPr>
      <w:rFonts w:ascii="Calibri" w:eastAsiaTheme="majorEastAsia" w:hAnsi="Calibri" w:cstheme="majorBidi"/>
      <w:b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/>
      <w:iCs/>
      <w:color w:val="262626" w:themeColor="text2"/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40" w:after="40"/>
      <w:outlineLvl w:val="4"/>
    </w:pPr>
    <w:rPr>
      <w:rFonts w:asciiTheme="majorHAnsi" w:eastAsiaTheme="majorEastAsia" w:hAnsiTheme="majorHAnsi" w:cstheme="majorBidi"/>
      <w:b/>
      <w:color w:val="262626" w:themeColor="text2"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40" w:after="40"/>
      <w:outlineLvl w:val="5"/>
    </w:pPr>
    <w:rPr>
      <w:rFonts w:asciiTheme="majorHAnsi" w:eastAsiaTheme="majorEastAsia" w:hAnsiTheme="majorHAnsi" w:cstheme="majorBidi"/>
      <w:color w:val="621C1D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40" w:after="40"/>
      <w:outlineLvl w:val="6"/>
    </w:pPr>
    <w:rPr>
      <w:rFonts w:asciiTheme="majorHAnsi" w:eastAsiaTheme="majorEastAsia" w:hAnsiTheme="majorHAnsi" w:cstheme="majorBidi"/>
      <w:i/>
      <w:iCs/>
      <w:color w:val="621C1D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120" w:after="20"/>
      <w:outlineLvl w:val="7"/>
    </w:pPr>
    <w:rPr>
      <w:rFonts w:asciiTheme="majorHAnsi" w:eastAsiaTheme="majorEastAsia" w:hAnsiTheme="majorHAnsi" w:cstheme="majorBidi"/>
      <w:color w:val="262626" w:themeColor="text2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120" w:after="20"/>
      <w:outlineLvl w:val="8"/>
    </w:pPr>
    <w:rPr>
      <w:rFonts w:asciiTheme="majorHAnsi" w:eastAsiaTheme="majorEastAsia" w:hAnsiTheme="majorHAnsi" w:cstheme="majorBidi"/>
      <w:i/>
      <w:iCs/>
      <w:color w:val="262626" w:themeColor="text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rsid w:val="00166549"/>
    <w:pPr>
      <w:spacing w:after="0" w:line="240" w:lineRule="auto"/>
    </w:pPr>
    <w:rPr>
      <w:i/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549"/>
    <w:rPr>
      <w:rFonts w:ascii="Calibri Light" w:hAnsi="Calibri Light"/>
      <w:i/>
      <w:color w:val="343433"/>
      <w:sz w:val="14"/>
    </w:rPr>
  </w:style>
  <w:style w:type="table" w:styleId="Grigliatabella">
    <w:name w:val="Table Grid"/>
    <w:basedOn w:val="Tabellanormale"/>
    <w:uiPriority w:val="39"/>
    <w:pPr>
      <w:spacing w:after="0" w:line="240" w:lineRule="auto"/>
      <w:ind w:left="288"/>
    </w:pPr>
    <w:rPr>
      <w:color w:val="595959" w:themeColor="text1" w:themeTint="A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autoRedefine/>
    <w:uiPriority w:val="1"/>
    <w:qFormat/>
    <w:rsid w:val="00770E8D"/>
    <w:pPr>
      <w:spacing w:after="900" w:line="240" w:lineRule="auto"/>
      <w:contextualSpacing/>
    </w:pPr>
    <w:rPr>
      <w:rFonts w:ascii="Calibri" w:eastAsiaTheme="majorEastAsia" w:hAnsi="Calibri" w:cstheme="majorBidi"/>
      <w:b/>
      <w:color w:val="D8217C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70E8D"/>
    <w:rPr>
      <w:rFonts w:ascii="Calibri" w:eastAsiaTheme="majorEastAsia" w:hAnsi="Calibri" w:cstheme="majorBidi"/>
      <w:b/>
      <w:color w:val="D8217C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1093D"/>
    <w:rPr>
      <w:rFonts w:ascii="Calibri" w:eastAsiaTheme="majorEastAsia" w:hAnsi="Calibri" w:cstheme="majorBidi"/>
      <w:color w:val="343433"/>
      <w:sz w:val="4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13F8C"/>
    <w:rPr>
      <w:rFonts w:ascii="Calibri" w:eastAsiaTheme="majorEastAsia" w:hAnsi="Calibri" w:cstheme="majorBidi"/>
      <w:color w:val="D8217C"/>
      <w:sz w:val="32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F6776"/>
    <w:rPr>
      <w:rFonts w:ascii="Calibri" w:eastAsiaTheme="majorEastAsia" w:hAnsi="Calibri" w:cstheme="majorBidi"/>
      <w:b/>
      <w:color w:val="343433"/>
      <w:sz w:val="21"/>
      <w:szCs w:val="24"/>
    </w:rPr>
  </w:style>
  <w:style w:type="paragraph" w:styleId="Puntoelenco">
    <w:name w:val="List Bullet"/>
    <w:basedOn w:val="Normale"/>
    <w:uiPriority w:val="10"/>
    <w:qFormat/>
    <w:pPr>
      <w:numPr>
        <w:numId w:val="3"/>
      </w:numPr>
      <w:ind w:left="1008" w:hanging="288"/>
      <w:contextualSpacing/>
    </w:pPr>
  </w:style>
  <w:style w:type="paragraph" w:styleId="Sottotitolo">
    <w:name w:val="Subtitle"/>
    <w:basedOn w:val="Normale"/>
    <w:link w:val="SottotitoloCarattere"/>
    <w:uiPriority w:val="11"/>
    <w:semiHidden/>
    <w:unhideWhenUsed/>
    <w:qFormat/>
    <w:pPr>
      <w:numPr>
        <w:ilvl w:val="1"/>
      </w:numPr>
    </w:pPr>
    <w:rPr>
      <w:rFonts w:eastAsiaTheme="minorEastAsia"/>
      <w:color w:val="262626" w:themeColor="text2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color w:val="262626" w:themeColor="text2"/>
    </w:rPr>
  </w:style>
  <w:style w:type="paragraph" w:styleId="Numeroelenco">
    <w:name w:val="List Number"/>
    <w:basedOn w:val="Normale"/>
    <w:uiPriority w:val="11"/>
    <w:qFormat/>
    <w:pPr>
      <w:numPr>
        <w:numId w:val="2"/>
      </w:numPr>
      <w:ind w:left="1008" w:hanging="288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262626" w:themeColor="text2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b/>
      <w:color w:val="262626" w:themeColor="text2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color w:val="621C1D" w:themeColor="accent1" w:themeShade="7F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/>
      <w:iCs/>
      <w:color w:val="621C1D" w:themeColor="accent1" w:themeShade="7F"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color w:val="262626" w:themeColor="text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/>
      <w:iCs/>
      <w:color w:val="262626" w:themeColor="text2"/>
      <w:szCs w:val="2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 w:val="0"/>
      <w:smallCaps/>
      <w:color w:val="262626" w:themeColor="text2"/>
    </w:rPr>
  </w:style>
  <w:style w:type="character" w:styleId="Enfasidelicata">
    <w:name w:val="Subtle Emphasis"/>
    <w:basedOn w:val="Carpredefinitoparagrafo"/>
    <w:uiPriority w:val="19"/>
    <w:unhideWhenUsed/>
    <w:qFormat/>
    <w:rsid w:val="00DF4FCE"/>
    <w:rPr>
      <w:i/>
      <w:iCs/>
      <w:color w:val="3B3B3B" w:themeColor="text2" w:themeTint="E6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00"/>
      <w:ind w:left="864" w:right="864"/>
      <w:jc w:val="center"/>
    </w:pPr>
    <w:rPr>
      <w:i/>
      <w:iCs/>
      <w:color w:val="262626" w:themeColor="text2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color w:val="262626" w:themeColor="text2"/>
    </w:rPr>
  </w:style>
  <w:style w:type="paragraph" w:styleId="Titolosommario">
    <w:name w:val="TOC Heading"/>
    <w:basedOn w:val="Titolo1"/>
    <w:next w:val="Normale"/>
    <w:uiPriority w:val="39"/>
    <w:unhideWhenUsed/>
    <w:qFormat/>
    <w:pPr>
      <w:outlineLvl w:val="9"/>
    </w:p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 w:val="0"/>
      <w:smallCaps/>
      <w:color w:val="C63B3D" w:themeColor="accent1"/>
      <w:spacing w:val="0"/>
    </w:rPr>
  </w:style>
  <w:style w:type="character" w:styleId="Titolodellibro">
    <w:name w:val="Book Title"/>
    <w:basedOn w:val="Carpredefinitoparagrafo"/>
    <w:uiPriority w:val="33"/>
    <w:semiHidden/>
    <w:unhideWhenUsed/>
    <w:qFormat/>
    <w:rPr>
      <w:b/>
      <w:bCs/>
      <w:i/>
      <w:iCs/>
      <w:spacing w:val="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51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512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183512"/>
  </w:style>
  <w:style w:type="paragraph" w:styleId="Testodelblocco">
    <w:name w:val="Block Text"/>
    <w:basedOn w:val="Normale"/>
    <w:uiPriority w:val="99"/>
    <w:semiHidden/>
    <w:unhideWhenUsed/>
    <w:rsid w:val="00183512"/>
    <w:pPr>
      <w:pBdr>
        <w:top w:val="single" w:sz="2" w:space="10" w:color="C63B3D" w:themeColor="accent1"/>
        <w:left w:val="single" w:sz="2" w:space="10" w:color="C63B3D" w:themeColor="accent1"/>
        <w:bottom w:val="single" w:sz="2" w:space="10" w:color="C63B3D" w:themeColor="accent1"/>
        <w:right w:val="single" w:sz="2" w:space="10" w:color="C63B3D" w:themeColor="accent1"/>
      </w:pBdr>
      <w:ind w:left="1152" w:right="1152"/>
    </w:pPr>
    <w:rPr>
      <w:rFonts w:eastAsiaTheme="minorEastAsia"/>
      <w:i/>
      <w:iCs/>
      <w:color w:val="C63B3D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8351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351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8351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83512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183512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183512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183512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183512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8351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83512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183512"/>
    <w:pPr>
      <w:spacing w:after="16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183512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8351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83512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183512"/>
    <w:pPr>
      <w:spacing w:after="120"/>
      <w:ind w:left="283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183512"/>
    <w:rPr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83512"/>
    <w:pPr>
      <w:spacing w:after="200" w:line="240" w:lineRule="auto"/>
    </w:pPr>
    <w:rPr>
      <w:i/>
      <w:iCs/>
      <w:color w:val="262626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183512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183512"/>
  </w:style>
  <w:style w:type="table" w:styleId="Grigliaacolori">
    <w:name w:val="Colorful Grid"/>
    <w:basedOn w:val="Tabellanormale"/>
    <w:uiPriority w:val="73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7D7" w:themeFill="accent1" w:themeFillTint="33"/>
    </w:tcPr>
    <w:tblStylePr w:type="firstRow">
      <w:rPr>
        <w:b/>
        <w:bCs/>
      </w:rPr>
      <w:tblPr/>
      <w:tcPr>
        <w:shd w:val="clear" w:color="auto" w:fill="E8B0B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B0B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2B2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2B2C" w:themeFill="accent1" w:themeFillShade="BF"/>
      </w:tcPr>
    </w:tblStylePr>
    <w:tblStylePr w:type="band1Vert">
      <w:tblPr/>
      <w:tcPr>
        <w:shd w:val="clear" w:color="auto" w:fill="E29D9D" w:themeFill="accent1" w:themeFillTint="7F"/>
      </w:tcPr>
    </w:tblStylePr>
    <w:tblStylePr w:type="band1Horz">
      <w:tblPr/>
      <w:tcPr>
        <w:shd w:val="clear" w:color="auto" w:fill="E29D9D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C" w:themeFill="accent2" w:themeFillTint="33"/>
    </w:tcPr>
    <w:tblStylePr w:type="firstRow">
      <w:rPr>
        <w:b/>
        <w:bCs/>
      </w:rPr>
      <w:tblPr/>
      <w:tcPr>
        <w:shd w:val="clear" w:color="auto" w:fill="FCD9B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B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E750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E7508" w:themeFill="accent2" w:themeFillShade="BF"/>
      </w:tcPr>
    </w:tblStylePr>
    <w:tblStylePr w:type="band1Vert">
      <w:tblPr/>
      <w:tcPr>
        <w:shd w:val="clear" w:color="auto" w:fill="FCD0A8" w:themeFill="accent2" w:themeFillTint="7F"/>
      </w:tcPr>
    </w:tblStylePr>
    <w:tblStylePr w:type="band1Horz">
      <w:tblPr/>
      <w:tcPr>
        <w:shd w:val="clear" w:color="auto" w:fill="FCD0A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2E9" w:themeFill="accent3" w:themeFillTint="33"/>
    </w:tcPr>
    <w:tblStylePr w:type="firstRow">
      <w:rPr>
        <w:b/>
        <w:bCs/>
      </w:rPr>
      <w:tblPr/>
      <w:tcPr>
        <w:shd w:val="clear" w:color="auto" w:fill="D6A6D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A6D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2C5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2C5E" w:themeFill="accent3" w:themeFillShade="BF"/>
      </w:tcPr>
    </w:tblStylePr>
    <w:tblStylePr w:type="band1Vert">
      <w:tblPr/>
      <w:tcPr>
        <w:shd w:val="clear" w:color="auto" w:fill="CC90CA" w:themeFill="accent3" w:themeFillTint="7F"/>
      </w:tcPr>
    </w:tblStylePr>
    <w:tblStylePr w:type="band1Horz">
      <w:tblPr/>
      <w:tcPr>
        <w:shd w:val="clear" w:color="auto" w:fill="CC90CA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3F2" w:themeFill="accent4" w:themeFillTint="33"/>
    </w:tcPr>
    <w:tblStylePr w:type="firstRow">
      <w:rPr>
        <w:b/>
        <w:bCs/>
      </w:rPr>
      <w:tblPr/>
      <w:tcPr>
        <w:shd w:val="clear" w:color="auto" w:fill="A7C7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7C7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568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5682" w:themeFill="accent4" w:themeFillShade="BF"/>
      </w:tcPr>
    </w:tblStylePr>
    <w:tblStylePr w:type="band1Vert">
      <w:tblPr/>
      <w:tcPr>
        <w:shd w:val="clear" w:color="auto" w:fill="91B9DF" w:themeFill="accent4" w:themeFillTint="7F"/>
      </w:tcPr>
    </w:tblStylePr>
    <w:tblStylePr w:type="band1Horz">
      <w:tblPr/>
      <w:tcPr>
        <w:shd w:val="clear" w:color="auto" w:fill="91B9DF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D8D7" w:themeFill="accent5" w:themeFillTint="33"/>
    </w:tcPr>
    <w:tblStylePr w:type="firstRow">
      <w:rPr>
        <w:b/>
        <w:bCs/>
      </w:rPr>
      <w:tblPr/>
      <w:tcPr>
        <w:shd w:val="clear" w:color="auto" w:fill="D3B1A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B1A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0383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03835" w:themeFill="accent5" w:themeFillShade="BF"/>
      </w:tcPr>
    </w:tblStylePr>
    <w:tblStylePr w:type="band1Vert">
      <w:tblPr/>
      <w:tcPr>
        <w:shd w:val="clear" w:color="auto" w:fill="C89E9B" w:themeFill="accent5" w:themeFillTint="7F"/>
      </w:tcPr>
    </w:tblStylePr>
    <w:tblStylePr w:type="band1Horz">
      <w:tblPr/>
      <w:tcPr>
        <w:shd w:val="clear" w:color="auto" w:fill="C89E9B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EE8" w:themeFill="accent6" w:themeFillTint="33"/>
    </w:tcPr>
    <w:tblStylePr w:type="firstRow">
      <w:rPr>
        <w:b/>
        <w:bCs/>
      </w:rPr>
      <w:tblPr/>
      <w:tcPr>
        <w:shd w:val="clear" w:color="auto" w:fill="ADDD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DDD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0756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07564" w:themeFill="accent6" w:themeFillShade="BF"/>
      </w:tcPr>
    </w:tblStylePr>
    <w:tblStylePr w:type="band1Vert">
      <w:tblPr/>
      <w:tcPr>
        <w:shd w:val="clear" w:color="auto" w:fill="99D5C6" w:themeFill="accent6" w:themeFillTint="7F"/>
      </w:tcPr>
    </w:tblStylePr>
    <w:tblStylePr w:type="band1Horz">
      <w:tblPr/>
      <w:tcPr>
        <w:shd w:val="clear" w:color="auto" w:fill="99D5C6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7E11" w:themeFill="accent2" w:themeFillShade="CC"/>
      </w:tcPr>
    </w:tblStylePr>
    <w:tblStylePr w:type="lastRow">
      <w:rPr>
        <w:b/>
        <w:bCs/>
        <w:color w:val="F67E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B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7E11" w:themeFill="accent2" w:themeFillShade="CC"/>
      </w:tcPr>
    </w:tblStylePr>
    <w:tblStylePr w:type="lastRow">
      <w:rPr>
        <w:b/>
        <w:bCs/>
        <w:color w:val="F67E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ECE" w:themeFill="accent1" w:themeFillTint="3F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7E11" w:themeFill="accent2" w:themeFillShade="CC"/>
      </w:tcPr>
    </w:tblStylePr>
    <w:tblStylePr w:type="lastRow">
      <w:rPr>
        <w:b/>
        <w:bCs/>
        <w:color w:val="F67E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D3" w:themeFill="accent2" w:themeFillTint="3F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9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5C8B" w:themeFill="accent4" w:themeFillShade="CC"/>
      </w:tcPr>
    </w:tblStylePr>
    <w:tblStylePr w:type="lastRow">
      <w:rPr>
        <w:b/>
        <w:bCs/>
        <w:color w:val="285C8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8E4" w:themeFill="accent3" w:themeFillTint="3F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1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2F64" w:themeFill="accent3" w:themeFillShade="CC"/>
      </w:tcPr>
    </w:tblStylePr>
    <w:tblStylePr w:type="lastRow">
      <w:rPr>
        <w:b/>
        <w:bCs/>
        <w:color w:val="672F6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CEF" w:themeFill="accent4" w:themeFillTint="3F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7D6B" w:themeFill="accent6" w:themeFillShade="CC"/>
      </w:tcPr>
    </w:tblStylePr>
    <w:tblStylePr w:type="lastRow">
      <w:rPr>
        <w:b/>
        <w:bCs/>
        <w:color w:val="347D6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CD" w:themeFill="accent5" w:themeFillTint="3F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6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3C39" w:themeFill="accent5" w:themeFillShade="CC"/>
      </w:tcPr>
    </w:tblStylePr>
    <w:tblStylePr w:type="lastRow">
      <w:rPr>
        <w:b/>
        <w:bCs/>
        <w:color w:val="673C3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AE3" w:themeFill="accent6" w:themeFillTint="3F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5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51" w:themeColor="accent2"/>
        <w:left w:val="single" w:sz="4" w:space="0" w:color="C63B3D" w:themeColor="accent1"/>
        <w:bottom w:val="single" w:sz="4" w:space="0" w:color="C63B3D" w:themeColor="accent1"/>
        <w:right w:val="single" w:sz="4" w:space="0" w:color="C63B3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B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22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223" w:themeColor="accent1" w:themeShade="99"/>
          <w:insideV w:val="nil"/>
        </w:tcBorders>
        <w:shd w:val="clear" w:color="auto" w:fill="77222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223" w:themeFill="accent1" w:themeFillShade="99"/>
      </w:tcPr>
    </w:tblStylePr>
    <w:tblStylePr w:type="band1Vert">
      <w:tblPr/>
      <w:tcPr>
        <w:shd w:val="clear" w:color="auto" w:fill="E8B0B1" w:themeFill="accent1" w:themeFillTint="66"/>
      </w:tcPr>
    </w:tblStylePr>
    <w:tblStylePr w:type="band1Horz">
      <w:tblPr/>
      <w:tcPr>
        <w:shd w:val="clear" w:color="auto" w:fill="E29D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51" w:themeColor="accent2"/>
        <w:left w:val="single" w:sz="4" w:space="0" w:color="F9A151" w:themeColor="accent2"/>
        <w:bottom w:val="single" w:sz="4" w:space="0" w:color="F9A151" w:themeColor="accent2"/>
        <w:right w:val="single" w:sz="4" w:space="0" w:color="F9A15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F5E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F5E06" w:themeColor="accent2" w:themeShade="99"/>
          <w:insideV w:val="nil"/>
        </w:tcBorders>
        <w:shd w:val="clear" w:color="auto" w:fill="BF5E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E06" w:themeFill="accent2" w:themeFillShade="99"/>
      </w:tcPr>
    </w:tblStylePr>
    <w:tblStylePr w:type="band1Vert">
      <w:tblPr/>
      <w:tcPr>
        <w:shd w:val="clear" w:color="auto" w:fill="FCD9B9" w:themeFill="accent2" w:themeFillTint="66"/>
      </w:tcPr>
    </w:tblStylePr>
    <w:tblStylePr w:type="band1Horz">
      <w:tblPr/>
      <w:tcPr>
        <w:shd w:val="clear" w:color="auto" w:fill="FCD0A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74AF" w:themeColor="accent4"/>
        <w:left w:val="single" w:sz="4" w:space="0" w:color="813B7E" w:themeColor="accent3"/>
        <w:bottom w:val="single" w:sz="4" w:space="0" w:color="813B7E" w:themeColor="accent3"/>
        <w:right w:val="single" w:sz="4" w:space="0" w:color="813B7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74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23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234B" w:themeColor="accent3" w:themeShade="99"/>
          <w:insideV w:val="nil"/>
        </w:tcBorders>
        <w:shd w:val="clear" w:color="auto" w:fill="4D23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234B" w:themeFill="accent3" w:themeFillShade="99"/>
      </w:tcPr>
    </w:tblStylePr>
    <w:tblStylePr w:type="band1Vert">
      <w:tblPr/>
      <w:tcPr>
        <w:shd w:val="clear" w:color="auto" w:fill="D6A6D4" w:themeFill="accent3" w:themeFillTint="66"/>
      </w:tcPr>
    </w:tblStylePr>
    <w:tblStylePr w:type="band1Horz">
      <w:tblPr/>
      <w:tcPr>
        <w:shd w:val="clear" w:color="auto" w:fill="CC90CA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13B7E" w:themeColor="accent3"/>
        <w:left w:val="single" w:sz="4" w:space="0" w:color="3374AF" w:themeColor="accent4"/>
        <w:bottom w:val="single" w:sz="4" w:space="0" w:color="3374AF" w:themeColor="accent4"/>
        <w:right w:val="single" w:sz="4" w:space="0" w:color="3374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13B7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456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4568" w:themeColor="accent4" w:themeShade="99"/>
          <w:insideV w:val="nil"/>
        </w:tcBorders>
        <w:shd w:val="clear" w:color="auto" w:fill="1E456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568" w:themeFill="accent4" w:themeFillShade="99"/>
      </w:tcPr>
    </w:tblStylePr>
    <w:tblStylePr w:type="band1Vert">
      <w:tblPr/>
      <w:tcPr>
        <w:shd w:val="clear" w:color="auto" w:fill="A7C7E5" w:themeFill="accent4" w:themeFillTint="66"/>
      </w:tcPr>
    </w:tblStylePr>
    <w:tblStylePr w:type="band1Horz">
      <w:tblPr/>
      <w:tcPr>
        <w:shd w:val="clear" w:color="auto" w:fill="91B9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19D87" w:themeColor="accent6"/>
        <w:left w:val="single" w:sz="4" w:space="0" w:color="814B47" w:themeColor="accent5"/>
        <w:bottom w:val="single" w:sz="4" w:space="0" w:color="814B47" w:themeColor="accent5"/>
        <w:right w:val="single" w:sz="4" w:space="0" w:color="814B4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19D8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2C2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2C2A" w:themeColor="accent5" w:themeShade="99"/>
          <w:insideV w:val="nil"/>
        </w:tcBorders>
        <w:shd w:val="clear" w:color="auto" w:fill="4D2C2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2C2A" w:themeFill="accent5" w:themeFillShade="99"/>
      </w:tcPr>
    </w:tblStylePr>
    <w:tblStylePr w:type="band1Vert">
      <w:tblPr/>
      <w:tcPr>
        <w:shd w:val="clear" w:color="auto" w:fill="D3B1AF" w:themeFill="accent5" w:themeFillTint="66"/>
      </w:tcPr>
    </w:tblStylePr>
    <w:tblStylePr w:type="band1Horz">
      <w:tblPr/>
      <w:tcPr>
        <w:shd w:val="clear" w:color="auto" w:fill="C89E9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14B47" w:themeColor="accent5"/>
        <w:left w:val="single" w:sz="4" w:space="0" w:color="419D87" w:themeColor="accent6"/>
        <w:bottom w:val="single" w:sz="4" w:space="0" w:color="419D87" w:themeColor="accent6"/>
        <w:right w:val="single" w:sz="4" w:space="0" w:color="419D8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6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14B4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E5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E50" w:themeColor="accent6" w:themeShade="99"/>
          <w:insideV w:val="nil"/>
        </w:tcBorders>
        <w:shd w:val="clear" w:color="auto" w:fill="275E5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E50" w:themeFill="accent6" w:themeFillShade="99"/>
      </w:tcPr>
    </w:tblStylePr>
    <w:tblStylePr w:type="band1Vert">
      <w:tblPr/>
      <w:tcPr>
        <w:shd w:val="clear" w:color="auto" w:fill="ADDDD1" w:themeFill="accent6" w:themeFillTint="66"/>
      </w:tcPr>
    </w:tblStylePr>
    <w:tblStylePr w:type="band1Horz">
      <w:tblPr/>
      <w:tcPr>
        <w:shd w:val="clear" w:color="auto" w:fill="99D5C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183512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3512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3512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35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3512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63B3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C1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2B2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2B2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2B2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2B2C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A15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E4E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E750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E750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50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508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3B7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1D3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2C5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2C5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C5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C5E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74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39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568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568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568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5682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4B4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252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383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383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383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3835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19D8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E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56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56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56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564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183512"/>
  </w:style>
  <w:style w:type="character" w:customStyle="1" w:styleId="DataCarattere">
    <w:name w:val="Data Carattere"/>
    <w:basedOn w:val="Carpredefinitoparagrafo"/>
    <w:link w:val="Data"/>
    <w:uiPriority w:val="99"/>
    <w:semiHidden/>
    <w:rsid w:val="00183512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8351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83512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183512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183512"/>
  </w:style>
  <w:style w:type="character" w:styleId="Enfasicorsivo">
    <w:name w:val="Emphasis"/>
    <w:basedOn w:val="Carpredefinitoparagrafo"/>
    <w:uiPriority w:val="20"/>
    <w:semiHidden/>
    <w:unhideWhenUsed/>
    <w:qFormat/>
    <w:rsid w:val="00183512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3512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3512"/>
    <w:pPr>
      <w:spacing w:after="0"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3512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18351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3512"/>
    <w:rPr>
      <w:color w:val="813B7E" w:themeColor="followed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3512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83512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83512"/>
    <w:rPr>
      <w:szCs w:val="20"/>
    </w:rPr>
  </w:style>
  <w:style w:type="table" w:styleId="Tabellagriglia1chiara">
    <w:name w:val="Grid Table 1 Light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E8B0B1" w:themeColor="accent1" w:themeTint="66"/>
        <w:left w:val="single" w:sz="4" w:space="0" w:color="E8B0B1" w:themeColor="accent1" w:themeTint="66"/>
        <w:bottom w:val="single" w:sz="4" w:space="0" w:color="E8B0B1" w:themeColor="accent1" w:themeTint="66"/>
        <w:right w:val="single" w:sz="4" w:space="0" w:color="E8B0B1" w:themeColor="accent1" w:themeTint="66"/>
        <w:insideH w:val="single" w:sz="4" w:space="0" w:color="E8B0B1" w:themeColor="accent1" w:themeTint="66"/>
        <w:insideV w:val="single" w:sz="4" w:space="0" w:color="E8B0B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C898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C898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CD9B9" w:themeColor="accent2" w:themeTint="66"/>
        <w:left w:val="single" w:sz="4" w:space="0" w:color="FCD9B9" w:themeColor="accent2" w:themeTint="66"/>
        <w:bottom w:val="single" w:sz="4" w:space="0" w:color="FCD9B9" w:themeColor="accent2" w:themeTint="66"/>
        <w:right w:val="single" w:sz="4" w:space="0" w:color="FCD9B9" w:themeColor="accent2" w:themeTint="66"/>
        <w:insideH w:val="single" w:sz="4" w:space="0" w:color="FCD9B9" w:themeColor="accent2" w:themeTint="66"/>
        <w:insideV w:val="single" w:sz="4" w:space="0" w:color="FCD9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BC6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C6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D6A6D4" w:themeColor="accent3" w:themeTint="66"/>
        <w:left w:val="single" w:sz="4" w:space="0" w:color="D6A6D4" w:themeColor="accent3" w:themeTint="66"/>
        <w:bottom w:val="single" w:sz="4" w:space="0" w:color="D6A6D4" w:themeColor="accent3" w:themeTint="66"/>
        <w:right w:val="single" w:sz="4" w:space="0" w:color="D6A6D4" w:themeColor="accent3" w:themeTint="66"/>
        <w:insideH w:val="single" w:sz="4" w:space="0" w:color="D6A6D4" w:themeColor="accent3" w:themeTint="66"/>
        <w:insideV w:val="single" w:sz="4" w:space="0" w:color="D6A6D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7A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7A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A7C7E5" w:themeColor="accent4" w:themeTint="66"/>
        <w:left w:val="single" w:sz="4" w:space="0" w:color="A7C7E5" w:themeColor="accent4" w:themeTint="66"/>
        <w:bottom w:val="single" w:sz="4" w:space="0" w:color="A7C7E5" w:themeColor="accent4" w:themeTint="66"/>
        <w:right w:val="single" w:sz="4" w:space="0" w:color="A7C7E5" w:themeColor="accent4" w:themeTint="66"/>
        <w:insideH w:val="single" w:sz="4" w:space="0" w:color="A7C7E5" w:themeColor="accent4" w:themeTint="66"/>
        <w:insideV w:val="single" w:sz="4" w:space="0" w:color="A7C7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AAB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AB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D3B1AF" w:themeColor="accent5" w:themeTint="66"/>
        <w:left w:val="single" w:sz="4" w:space="0" w:color="D3B1AF" w:themeColor="accent5" w:themeTint="66"/>
        <w:bottom w:val="single" w:sz="4" w:space="0" w:color="D3B1AF" w:themeColor="accent5" w:themeTint="66"/>
        <w:right w:val="single" w:sz="4" w:space="0" w:color="D3B1AF" w:themeColor="accent5" w:themeTint="66"/>
        <w:insideH w:val="single" w:sz="4" w:space="0" w:color="D3B1AF" w:themeColor="accent5" w:themeTint="66"/>
        <w:insideV w:val="single" w:sz="4" w:space="0" w:color="D3B1A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D8A8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8A8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ADDDD1" w:themeColor="accent6" w:themeTint="66"/>
        <w:left w:val="single" w:sz="4" w:space="0" w:color="ADDDD1" w:themeColor="accent6" w:themeTint="66"/>
        <w:bottom w:val="single" w:sz="4" w:space="0" w:color="ADDDD1" w:themeColor="accent6" w:themeTint="66"/>
        <w:right w:val="single" w:sz="4" w:space="0" w:color="ADDDD1" w:themeColor="accent6" w:themeTint="66"/>
        <w:insideH w:val="single" w:sz="4" w:space="0" w:color="ADDDD1" w:themeColor="accent6" w:themeTint="66"/>
        <w:insideV w:val="single" w:sz="4" w:space="0" w:color="ADDD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4CC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CC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2" w:space="0" w:color="DC898A" w:themeColor="accent1" w:themeTint="99"/>
        <w:bottom w:val="single" w:sz="2" w:space="0" w:color="DC898A" w:themeColor="accent1" w:themeTint="99"/>
        <w:insideH w:val="single" w:sz="2" w:space="0" w:color="DC898A" w:themeColor="accent1" w:themeTint="99"/>
        <w:insideV w:val="single" w:sz="2" w:space="0" w:color="DC898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C898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C898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2" w:space="0" w:color="FBC696" w:themeColor="accent2" w:themeTint="99"/>
        <w:bottom w:val="single" w:sz="2" w:space="0" w:color="FBC696" w:themeColor="accent2" w:themeTint="99"/>
        <w:insideH w:val="single" w:sz="2" w:space="0" w:color="FBC696" w:themeColor="accent2" w:themeTint="99"/>
        <w:insideV w:val="single" w:sz="2" w:space="0" w:color="FBC69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C69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C69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2" w:space="0" w:color="C27ABF" w:themeColor="accent3" w:themeTint="99"/>
        <w:bottom w:val="single" w:sz="2" w:space="0" w:color="C27ABF" w:themeColor="accent3" w:themeTint="99"/>
        <w:insideH w:val="single" w:sz="2" w:space="0" w:color="C27ABF" w:themeColor="accent3" w:themeTint="99"/>
        <w:insideV w:val="single" w:sz="2" w:space="0" w:color="C27AB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7AB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7AB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2" w:space="0" w:color="7AABD8" w:themeColor="accent4" w:themeTint="99"/>
        <w:bottom w:val="single" w:sz="2" w:space="0" w:color="7AABD8" w:themeColor="accent4" w:themeTint="99"/>
        <w:insideH w:val="single" w:sz="2" w:space="0" w:color="7AABD8" w:themeColor="accent4" w:themeTint="99"/>
        <w:insideV w:val="single" w:sz="2" w:space="0" w:color="7AAB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AB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AB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2" w:space="0" w:color="BD8A87" w:themeColor="accent5" w:themeTint="99"/>
        <w:bottom w:val="single" w:sz="2" w:space="0" w:color="BD8A87" w:themeColor="accent5" w:themeTint="99"/>
        <w:insideH w:val="single" w:sz="2" w:space="0" w:color="BD8A87" w:themeColor="accent5" w:themeTint="99"/>
        <w:insideV w:val="single" w:sz="2" w:space="0" w:color="BD8A8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8A8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8A8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2" w:space="0" w:color="84CCBB" w:themeColor="accent6" w:themeTint="99"/>
        <w:bottom w:val="single" w:sz="2" w:space="0" w:color="84CCBB" w:themeColor="accent6" w:themeTint="99"/>
        <w:insideH w:val="single" w:sz="2" w:space="0" w:color="84CCBB" w:themeColor="accent6" w:themeTint="99"/>
        <w:insideV w:val="single" w:sz="2" w:space="0" w:color="84CCB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CCB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CCB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Grigliatab3">
    <w:name w:val="Grid Table 3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DC898A" w:themeColor="accent1" w:themeTint="99"/>
        <w:left w:val="single" w:sz="4" w:space="0" w:color="DC898A" w:themeColor="accent1" w:themeTint="99"/>
        <w:bottom w:val="single" w:sz="4" w:space="0" w:color="DC898A" w:themeColor="accent1" w:themeTint="99"/>
        <w:right w:val="single" w:sz="4" w:space="0" w:color="DC898A" w:themeColor="accent1" w:themeTint="99"/>
        <w:insideH w:val="single" w:sz="4" w:space="0" w:color="DC898A" w:themeColor="accent1" w:themeTint="99"/>
        <w:insideV w:val="single" w:sz="4" w:space="0" w:color="DC898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  <w:tblStylePr w:type="neCell">
      <w:tblPr/>
      <w:tcPr>
        <w:tcBorders>
          <w:bottom w:val="single" w:sz="4" w:space="0" w:color="DC898A" w:themeColor="accent1" w:themeTint="99"/>
        </w:tcBorders>
      </w:tcPr>
    </w:tblStylePr>
    <w:tblStylePr w:type="nwCell">
      <w:tblPr/>
      <w:tcPr>
        <w:tcBorders>
          <w:bottom w:val="single" w:sz="4" w:space="0" w:color="DC898A" w:themeColor="accent1" w:themeTint="99"/>
        </w:tcBorders>
      </w:tcPr>
    </w:tblStylePr>
    <w:tblStylePr w:type="seCell">
      <w:tblPr/>
      <w:tcPr>
        <w:tcBorders>
          <w:top w:val="single" w:sz="4" w:space="0" w:color="DC898A" w:themeColor="accent1" w:themeTint="99"/>
        </w:tcBorders>
      </w:tcPr>
    </w:tblStylePr>
    <w:tblStylePr w:type="swCell">
      <w:tblPr/>
      <w:tcPr>
        <w:tcBorders>
          <w:top w:val="single" w:sz="4" w:space="0" w:color="DC898A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BC696" w:themeColor="accent2" w:themeTint="99"/>
        <w:left w:val="single" w:sz="4" w:space="0" w:color="FBC696" w:themeColor="accent2" w:themeTint="99"/>
        <w:bottom w:val="single" w:sz="4" w:space="0" w:color="FBC696" w:themeColor="accent2" w:themeTint="99"/>
        <w:right w:val="single" w:sz="4" w:space="0" w:color="FBC696" w:themeColor="accent2" w:themeTint="99"/>
        <w:insideH w:val="single" w:sz="4" w:space="0" w:color="FBC696" w:themeColor="accent2" w:themeTint="99"/>
        <w:insideV w:val="single" w:sz="4" w:space="0" w:color="FBC69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  <w:tblStylePr w:type="neCell">
      <w:tblPr/>
      <w:tcPr>
        <w:tcBorders>
          <w:bottom w:val="single" w:sz="4" w:space="0" w:color="FBC696" w:themeColor="accent2" w:themeTint="99"/>
        </w:tcBorders>
      </w:tcPr>
    </w:tblStylePr>
    <w:tblStylePr w:type="nwCell">
      <w:tblPr/>
      <w:tcPr>
        <w:tcBorders>
          <w:bottom w:val="single" w:sz="4" w:space="0" w:color="FBC696" w:themeColor="accent2" w:themeTint="99"/>
        </w:tcBorders>
      </w:tcPr>
    </w:tblStylePr>
    <w:tblStylePr w:type="seCell">
      <w:tblPr/>
      <w:tcPr>
        <w:tcBorders>
          <w:top w:val="single" w:sz="4" w:space="0" w:color="FBC696" w:themeColor="accent2" w:themeTint="99"/>
        </w:tcBorders>
      </w:tcPr>
    </w:tblStylePr>
    <w:tblStylePr w:type="swCell">
      <w:tblPr/>
      <w:tcPr>
        <w:tcBorders>
          <w:top w:val="single" w:sz="4" w:space="0" w:color="FBC696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C27ABF" w:themeColor="accent3" w:themeTint="99"/>
        <w:left w:val="single" w:sz="4" w:space="0" w:color="C27ABF" w:themeColor="accent3" w:themeTint="99"/>
        <w:bottom w:val="single" w:sz="4" w:space="0" w:color="C27ABF" w:themeColor="accent3" w:themeTint="99"/>
        <w:right w:val="single" w:sz="4" w:space="0" w:color="C27ABF" w:themeColor="accent3" w:themeTint="99"/>
        <w:insideH w:val="single" w:sz="4" w:space="0" w:color="C27ABF" w:themeColor="accent3" w:themeTint="99"/>
        <w:insideV w:val="single" w:sz="4" w:space="0" w:color="C27AB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  <w:tblStylePr w:type="neCell">
      <w:tblPr/>
      <w:tcPr>
        <w:tcBorders>
          <w:bottom w:val="single" w:sz="4" w:space="0" w:color="C27ABF" w:themeColor="accent3" w:themeTint="99"/>
        </w:tcBorders>
      </w:tcPr>
    </w:tblStylePr>
    <w:tblStylePr w:type="nwCell">
      <w:tblPr/>
      <w:tcPr>
        <w:tcBorders>
          <w:bottom w:val="single" w:sz="4" w:space="0" w:color="C27ABF" w:themeColor="accent3" w:themeTint="99"/>
        </w:tcBorders>
      </w:tcPr>
    </w:tblStylePr>
    <w:tblStylePr w:type="seCell">
      <w:tblPr/>
      <w:tcPr>
        <w:tcBorders>
          <w:top w:val="single" w:sz="4" w:space="0" w:color="C27ABF" w:themeColor="accent3" w:themeTint="99"/>
        </w:tcBorders>
      </w:tcPr>
    </w:tblStylePr>
    <w:tblStylePr w:type="swCell">
      <w:tblPr/>
      <w:tcPr>
        <w:tcBorders>
          <w:top w:val="single" w:sz="4" w:space="0" w:color="C27ABF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7AABD8" w:themeColor="accent4" w:themeTint="99"/>
        <w:left w:val="single" w:sz="4" w:space="0" w:color="7AABD8" w:themeColor="accent4" w:themeTint="99"/>
        <w:bottom w:val="single" w:sz="4" w:space="0" w:color="7AABD8" w:themeColor="accent4" w:themeTint="99"/>
        <w:right w:val="single" w:sz="4" w:space="0" w:color="7AABD8" w:themeColor="accent4" w:themeTint="99"/>
        <w:insideH w:val="single" w:sz="4" w:space="0" w:color="7AABD8" w:themeColor="accent4" w:themeTint="99"/>
        <w:insideV w:val="single" w:sz="4" w:space="0" w:color="7AAB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  <w:tblStylePr w:type="neCell">
      <w:tblPr/>
      <w:tcPr>
        <w:tcBorders>
          <w:bottom w:val="single" w:sz="4" w:space="0" w:color="7AABD8" w:themeColor="accent4" w:themeTint="99"/>
        </w:tcBorders>
      </w:tcPr>
    </w:tblStylePr>
    <w:tblStylePr w:type="nwCell">
      <w:tblPr/>
      <w:tcPr>
        <w:tcBorders>
          <w:bottom w:val="single" w:sz="4" w:space="0" w:color="7AABD8" w:themeColor="accent4" w:themeTint="99"/>
        </w:tcBorders>
      </w:tcPr>
    </w:tblStylePr>
    <w:tblStylePr w:type="seCell">
      <w:tblPr/>
      <w:tcPr>
        <w:tcBorders>
          <w:top w:val="single" w:sz="4" w:space="0" w:color="7AABD8" w:themeColor="accent4" w:themeTint="99"/>
        </w:tcBorders>
      </w:tcPr>
    </w:tblStylePr>
    <w:tblStylePr w:type="swCell">
      <w:tblPr/>
      <w:tcPr>
        <w:tcBorders>
          <w:top w:val="single" w:sz="4" w:space="0" w:color="7AABD8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BD8A87" w:themeColor="accent5" w:themeTint="99"/>
        <w:left w:val="single" w:sz="4" w:space="0" w:color="BD8A87" w:themeColor="accent5" w:themeTint="99"/>
        <w:bottom w:val="single" w:sz="4" w:space="0" w:color="BD8A87" w:themeColor="accent5" w:themeTint="99"/>
        <w:right w:val="single" w:sz="4" w:space="0" w:color="BD8A87" w:themeColor="accent5" w:themeTint="99"/>
        <w:insideH w:val="single" w:sz="4" w:space="0" w:color="BD8A87" w:themeColor="accent5" w:themeTint="99"/>
        <w:insideV w:val="single" w:sz="4" w:space="0" w:color="BD8A8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  <w:tblStylePr w:type="neCell">
      <w:tblPr/>
      <w:tcPr>
        <w:tcBorders>
          <w:bottom w:val="single" w:sz="4" w:space="0" w:color="BD8A87" w:themeColor="accent5" w:themeTint="99"/>
        </w:tcBorders>
      </w:tcPr>
    </w:tblStylePr>
    <w:tblStylePr w:type="nwCell">
      <w:tblPr/>
      <w:tcPr>
        <w:tcBorders>
          <w:bottom w:val="single" w:sz="4" w:space="0" w:color="BD8A87" w:themeColor="accent5" w:themeTint="99"/>
        </w:tcBorders>
      </w:tcPr>
    </w:tblStylePr>
    <w:tblStylePr w:type="seCell">
      <w:tblPr/>
      <w:tcPr>
        <w:tcBorders>
          <w:top w:val="single" w:sz="4" w:space="0" w:color="BD8A87" w:themeColor="accent5" w:themeTint="99"/>
        </w:tcBorders>
      </w:tcPr>
    </w:tblStylePr>
    <w:tblStylePr w:type="swCell">
      <w:tblPr/>
      <w:tcPr>
        <w:tcBorders>
          <w:top w:val="single" w:sz="4" w:space="0" w:color="BD8A87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84CCBB" w:themeColor="accent6" w:themeTint="99"/>
        <w:left w:val="single" w:sz="4" w:space="0" w:color="84CCBB" w:themeColor="accent6" w:themeTint="99"/>
        <w:bottom w:val="single" w:sz="4" w:space="0" w:color="84CCBB" w:themeColor="accent6" w:themeTint="99"/>
        <w:right w:val="single" w:sz="4" w:space="0" w:color="84CCBB" w:themeColor="accent6" w:themeTint="99"/>
        <w:insideH w:val="single" w:sz="4" w:space="0" w:color="84CCBB" w:themeColor="accent6" w:themeTint="99"/>
        <w:insideV w:val="single" w:sz="4" w:space="0" w:color="84CC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  <w:tblStylePr w:type="neCell">
      <w:tblPr/>
      <w:tcPr>
        <w:tcBorders>
          <w:bottom w:val="single" w:sz="4" w:space="0" w:color="84CCBB" w:themeColor="accent6" w:themeTint="99"/>
        </w:tcBorders>
      </w:tcPr>
    </w:tblStylePr>
    <w:tblStylePr w:type="nwCell">
      <w:tblPr/>
      <w:tcPr>
        <w:tcBorders>
          <w:bottom w:val="single" w:sz="4" w:space="0" w:color="84CCBB" w:themeColor="accent6" w:themeTint="99"/>
        </w:tcBorders>
      </w:tcPr>
    </w:tblStylePr>
    <w:tblStylePr w:type="seCell">
      <w:tblPr/>
      <w:tcPr>
        <w:tcBorders>
          <w:top w:val="single" w:sz="4" w:space="0" w:color="84CCBB" w:themeColor="accent6" w:themeTint="99"/>
        </w:tcBorders>
      </w:tcPr>
    </w:tblStylePr>
    <w:tblStylePr w:type="swCell">
      <w:tblPr/>
      <w:tcPr>
        <w:tcBorders>
          <w:top w:val="single" w:sz="4" w:space="0" w:color="84CCBB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DC898A" w:themeColor="accent1" w:themeTint="99"/>
        <w:left w:val="single" w:sz="4" w:space="0" w:color="DC898A" w:themeColor="accent1" w:themeTint="99"/>
        <w:bottom w:val="single" w:sz="4" w:space="0" w:color="DC898A" w:themeColor="accent1" w:themeTint="99"/>
        <w:right w:val="single" w:sz="4" w:space="0" w:color="DC898A" w:themeColor="accent1" w:themeTint="99"/>
        <w:insideH w:val="single" w:sz="4" w:space="0" w:color="DC898A" w:themeColor="accent1" w:themeTint="99"/>
        <w:insideV w:val="single" w:sz="4" w:space="0" w:color="DC898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3B3D" w:themeColor="accent1"/>
          <w:left w:val="single" w:sz="4" w:space="0" w:color="C63B3D" w:themeColor="accent1"/>
          <w:bottom w:val="single" w:sz="4" w:space="0" w:color="C63B3D" w:themeColor="accent1"/>
          <w:right w:val="single" w:sz="4" w:space="0" w:color="C63B3D" w:themeColor="accent1"/>
          <w:insideH w:val="nil"/>
          <w:insideV w:val="nil"/>
        </w:tcBorders>
        <w:shd w:val="clear" w:color="auto" w:fill="C63B3D" w:themeFill="accent1"/>
      </w:tcPr>
    </w:tblStylePr>
    <w:tblStylePr w:type="lastRow">
      <w:rPr>
        <w:b/>
        <w:bCs/>
      </w:rPr>
      <w:tblPr/>
      <w:tcPr>
        <w:tcBorders>
          <w:top w:val="double" w:sz="4" w:space="0" w:color="C63B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BC696" w:themeColor="accent2" w:themeTint="99"/>
        <w:left w:val="single" w:sz="4" w:space="0" w:color="FBC696" w:themeColor="accent2" w:themeTint="99"/>
        <w:bottom w:val="single" w:sz="4" w:space="0" w:color="FBC696" w:themeColor="accent2" w:themeTint="99"/>
        <w:right w:val="single" w:sz="4" w:space="0" w:color="FBC696" w:themeColor="accent2" w:themeTint="99"/>
        <w:insideH w:val="single" w:sz="4" w:space="0" w:color="FBC696" w:themeColor="accent2" w:themeTint="99"/>
        <w:insideV w:val="single" w:sz="4" w:space="0" w:color="FBC6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A151" w:themeColor="accent2"/>
          <w:left w:val="single" w:sz="4" w:space="0" w:color="F9A151" w:themeColor="accent2"/>
          <w:bottom w:val="single" w:sz="4" w:space="0" w:color="F9A151" w:themeColor="accent2"/>
          <w:right w:val="single" w:sz="4" w:space="0" w:color="F9A151" w:themeColor="accent2"/>
          <w:insideH w:val="nil"/>
          <w:insideV w:val="nil"/>
        </w:tcBorders>
        <w:shd w:val="clear" w:color="auto" w:fill="F9A151" w:themeFill="accent2"/>
      </w:tcPr>
    </w:tblStylePr>
    <w:tblStylePr w:type="lastRow">
      <w:rPr>
        <w:b/>
        <w:bCs/>
      </w:rPr>
      <w:tblPr/>
      <w:tcPr>
        <w:tcBorders>
          <w:top w:val="double" w:sz="4" w:space="0" w:color="F9A15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C27ABF" w:themeColor="accent3" w:themeTint="99"/>
        <w:left w:val="single" w:sz="4" w:space="0" w:color="C27ABF" w:themeColor="accent3" w:themeTint="99"/>
        <w:bottom w:val="single" w:sz="4" w:space="0" w:color="C27ABF" w:themeColor="accent3" w:themeTint="99"/>
        <w:right w:val="single" w:sz="4" w:space="0" w:color="C27ABF" w:themeColor="accent3" w:themeTint="99"/>
        <w:insideH w:val="single" w:sz="4" w:space="0" w:color="C27ABF" w:themeColor="accent3" w:themeTint="99"/>
        <w:insideV w:val="single" w:sz="4" w:space="0" w:color="C27AB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3B7E" w:themeColor="accent3"/>
          <w:left w:val="single" w:sz="4" w:space="0" w:color="813B7E" w:themeColor="accent3"/>
          <w:bottom w:val="single" w:sz="4" w:space="0" w:color="813B7E" w:themeColor="accent3"/>
          <w:right w:val="single" w:sz="4" w:space="0" w:color="813B7E" w:themeColor="accent3"/>
          <w:insideH w:val="nil"/>
          <w:insideV w:val="nil"/>
        </w:tcBorders>
        <w:shd w:val="clear" w:color="auto" w:fill="813B7E" w:themeFill="accent3"/>
      </w:tcPr>
    </w:tblStylePr>
    <w:tblStylePr w:type="lastRow">
      <w:rPr>
        <w:b/>
        <w:bCs/>
      </w:rPr>
      <w:tblPr/>
      <w:tcPr>
        <w:tcBorders>
          <w:top w:val="double" w:sz="4" w:space="0" w:color="813B7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7AABD8" w:themeColor="accent4" w:themeTint="99"/>
        <w:left w:val="single" w:sz="4" w:space="0" w:color="7AABD8" w:themeColor="accent4" w:themeTint="99"/>
        <w:bottom w:val="single" w:sz="4" w:space="0" w:color="7AABD8" w:themeColor="accent4" w:themeTint="99"/>
        <w:right w:val="single" w:sz="4" w:space="0" w:color="7AABD8" w:themeColor="accent4" w:themeTint="99"/>
        <w:insideH w:val="single" w:sz="4" w:space="0" w:color="7AABD8" w:themeColor="accent4" w:themeTint="99"/>
        <w:insideV w:val="single" w:sz="4" w:space="0" w:color="7AAB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74AF" w:themeColor="accent4"/>
          <w:left w:val="single" w:sz="4" w:space="0" w:color="3374AF" w:themeColor="accent4"/>
          <w:bottom w:val="single" w:sz="4" w:space="0" w:color="3374AF" w:themeColor="accent4"/>
          <w:right w:val="single" w:sz="4" w:space="0" w:color="3374AF" w:themeColor="accent4"/>
          <w:insideH w:val="nil"/>
          <w:insideV w:val="nil"/>
        </w:tcBorders>
        <w:shd w:val="clear" w:color="auto" w:fill="3374AF" w:themeFill="accent4"/>
      </w:tcPr>
    </w:tblStylePr>
    <w:tblStylePr w:type="lastRow">
      <w:rPr>
        <w:b/>
        <w:bCs/>
      </w:rPr>
      <w:tblPr/>
      <w:tcPr>
        <w:tcBorders>
          <w:top w:val="double" w:sz="4" w:space="0" w:color="3374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BD8A87" w:themeColor="accent5" w:themeTint="99"/>
        <w:left w:val="single" w:sz="4" w:space="0" w:color="BD8A87" w:themeColor="accent5" w:themeTint="99"/>
        <w:bottom w:val="single" w:sz="4" w:space="0" w:color="BD8A87" w:themeColor="accent5" w:themeTint="99"/>
        <w:right w:val="single" w:sz="4" w:space="0" w:color="BD8A87" w:themeColor="accent5" w:themeTint="99"/>
        <w:insideH w:val="single" w:sz="4" w:space="0" w:color="BD8A87" w:themeColor="accent5" w:themeTint="99"/>
        <w:insideV w:val="single" w:sz="4" w:space="0" w:color="BD8A8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4B47" w:themeColor="accent5"/>
          <w:left w:val="single" w:sz="4" w:space="0" w:color="814B47" w:themeColor="accent5"/>
          <w:bottom w:val="single" w:sz="4" w:space="0" w:color="814B47" w:themeColor="accent5"/>
          <w:right w:val="single" w:sz="4" w:space="0" w:color="814B47" w:themeColor="accent5"/>
          <w:insideH w:val="nil"/>
          <w:insideV w:val="nil"/>
        </w:tcBorders>
        <w:shd w:val="clear" w:color="auto" w:fill="814B47" w:themeFill="accent5"/>
      </w:tcPr>
    </w:tblStylePr>
    <w:tblStylePr w:type="lastRow">
      <w:rPr>
        <w:b/>
        <w:bCs/>
      </w:rPr>
      <w:tblPr/>
      <w:tcPr>
        <w:tcBorders>
          <w:top w:val="double" w:sz="4" w:space="0" w:color="814B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84CCBB" w:themeColor="accent6" w:themeTint="99"/>
        <w:left w:val="single" w:sz="4" w:space="0" w:color="84CCBB" w:themeColor="accent6" w:themeTint="99"/>
        <w:bottom w:val="single" w:sz="4" w:space="0" w:color="84CCBB" w:themeColor="accent6" w:themeTint="99"/>
        <w:right w:val="single" w:sz="4" w:space="0" w:color="84CCBB" w:themeColor="accent6" w:themeTint="99"/>
        <w:insideH w:val="single" w:sz="4" w:space="0" w:color="84CCBB" w:themeColor="accent6" w:themeTint="99"/>
        <w:insideV w:val="single" w:sz="4" w:space="0" w:color="84CC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9D87" w:themeColor="accent6"/>
          <w:left w:val="single" w:sz="4" w:space="0" w:color="419D87" w:themeColor="accent6"/>
          <w:bottom w:val="single" w:sz="4" w:space="0" w:color="419D87" w:themeColor="accent6"/>
          <w:right w:val="single" w:sz="4" w:space="0" w:color="419D87" w:themeColor="accent6"/>
          <w:insideH w:val="nil"/>
          <w:insideV w:val="nil"/>
        </w:tcBorders>
        <w:shd w:val="clear" w:color="auto" w:fill="419D87" w:themeFill="accent6"/>
      </w:tcPr>
    </w:tblStylePr>
    <w:tblStylePr w:type="lastRow">
      <w:rPr>
        <w:b/>
        <w:bCs/>
      </w:rPr>
      <w:tblPr/>
      <w:tcPr>
        <w:tcBorders>
          <w:top w:val="double" w:sz="4" w:space="0" w:color="419D8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D7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3B3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3B3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63B3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63B3D" w:themeFill="accent1"/>
      </w:tcPr>
    </w:tblStylePr>
    <w:tblStylePr w:type="band1Vert">
      <w:tblPr/>
      <w:tcPr>
        <w:shd w:val="clear" w:color="auto" w:fill="E8B0B1" w:themeFill="accent1" w:themeFillTint="66"/>
      </w:tcPr>
    </w:tblStylePr>
    <w:tblStylePr w:type="band1Horz">
      <w:tblPr/>
      <w:tcPr>
        <w:shd w:val="clear" w:color="auto" w:fill="E8B0B1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A15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A15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A15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A151" w:themeFill="accent2"/>
      </w:tcPr>
    </w:tblStylePr>
    <w:tblStylePr w:type="band1Vert">
      <w:tblPr/>
      <w:tcPr>
        <w:shd w:val="clear" w:color="auto" w:fill="FCD9B9" w:themeFill="accent2" w:themeFillTint="66"/>
      </w:tcPr>
    </w:tblStylePr>
    <w:tblStylePr w:type="band1Horz">
      <w:tblPr/>
      <w:tcPr>
        <w:shd w:val="clear" w:color="auto" w:fill="FCD9B9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2E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13B7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13B7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13B7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13B7E" w:themeFill="accent3"/>
      </w:tcPr>
    </w:tblStylePr>
    <w:tblStylePr w:type="band1Vert">
      <w:tblPr/>
      <w:tcPr>
        <w:shd w:val="clear" w:color="auto" w:fill="D6A6D4" w:themeFill="accent3" w:themeFillTint="66"/>
      </w:tcPr>
    </w:tblStylePr>
    <w:tblStylePr w:type="band1Horz">
      <w:tblPr/>
      <w:tcPr>
        <w:shd w:val="clear" w:color="auto" w:fill="D6A6D4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3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74A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74A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74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74AF" w:themeFill="accent4"/>
      </w:tcPr>
    </w:tblStylePr>
    <w:tblStylePr w:type="band1Vert">
      <w:tblPr/>
      <w:tcPr>
        <w:shd w:val="clear" w:color="auto" w:fill="A7C7E5" w:themeFill="accent4" w:themeFillTint="66"/>
      </w:tcPr>
    </w:tblStylePr>
    <w:tblStylePr w:type="band1Horz">
      <w:tblPr/>
      <w:tcPr>
        <w:shd w:val="clear" w:color="auto" w:fill="A7C7E5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D8D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14B4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14B4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14B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14B47" w:themeFill="accent5"/>
      </w:tcPr>
    </w:tblStylePr>
    <w:tblStylePr w:type="band1Vert">
      <w:tblPr/>
      <w:tcPr>
        <w:shd w:val="clear" w:color="auto" w:fill="D3B1AF" w:themeFill="accent5" w:themeFillTint="66"/>
      </w:tcPr>
    </w:tblStylePr>
    <w:tblStylePr w:type="band1Horz">
      <w:tblPr/>
      <w:tcPr>
        <w:shd w:val="clear" w:color="auto" w:fill="D3B1AF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E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9D8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9D8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9D8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9D87" w:themeFill="accent6"/>
      </w:tcPr>
    </w:tblStylePr>
    <w:tblStylePr w:type="band1Vert">
      <w:tblPr/>
      <w:tcPr>
        <w:shd w:val="clear" w:color="auto" w:fill="ADDDD1" w:themeFill="accent6" w:themeFillTint="66"/>
      </w:tcPr>
    </w:tblStylePr>
    <w:tblStylePr w:type="band1Horz">
      <w:tblPr/>
      <w:tcPr>
        <w:shd w:val="clear" w:color="auto" w:fill="ADDDD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183512"/>
    <w:pPr>
      <w:spacing w:after="0" w:line="240" w:lineRule="auto"/>
    </w:pPr>
    <w:rPr>
      <w:color w:val="942B2C" w:themeColor="accent1" w:themeShade="BF"/>
    </w:rPr>
    <w:tblPr>
      <w:tblStyleRowBandSize w:val="1"/>
      <w:tblStyleColBandSize w:val="1"/>
      <w:tblBorders>
        <w:top w:val="single" w:sz="4" w:space="0" w:color="DC898A" w:themeColor="accent1" w:themeTint="99"/>
        <w:left w:val="single" w:sz="4" w:space="0" w:color="DC898A" w:themeColor="accent1" w:themeTint="99"/>
        <w:bottom w:val="single" w:sz="4" w:space="0" w:color="DC898A" w:themeColor="accent1" w:themeTint="99"/>
        <w:right w:val="single" w:sz="4" w:space="0" w:color="DC898A" w:themeColor="accent1" w:themeTint="99"/>
        <w:insideH w:val="single" w:sz="4" w:space="0" w:color="DC898A" w:themeColor="accent1" w:themeTint="99"/>
        <w:insideV w:val="single" w:sz="4" w:space="0" w:color="DC898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C898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C898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183512"/>
    <w:pPr>
      <w:spacing w:after="0" w:line="240" w:lineRule="auto"/>
    </w:pPr>
    <w:rPr>
      <w:color w:val="EE7508" w:themeColor="accent2" w:themeShade="BF"/>
    </w:rPr>
    <w:tblPr>
      <w:tblStyleRowBandSize w:val="1"/>
      <w:tblStyleColBandSize w:val="1"/>
      <w:tblBorders>
        <w:top w:val="single" w:sz="4" w:space="0" w:color="FBC696" w:themeColor="accent2" w:themeTint="99"/>
        <w:left w:val="single" w:sz="4" w:space="0" w:color="FBC696" w:themeColor="accent2" w:themeTint="99"/>
        <w:bottom w:val="single" w:sz="4" w:space="0" w:color="FBC696" w:themeColor="accent2" w:themeTint="99"/>
        <w:right w:val="single" w:sz="4" w:space="0" w:color="FBC696" w:themeColor="accent2" w:themeTint="99"/>
        <w:insideH w:val="single" w:sz="4" w:space="0" w:color="FBC696" w:themeColor="accent2" w:themeTint="99"/>
        <w:insideV w:val="single" w:sz="4" w:space="0" w:color="FBC69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BC6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C6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83512"/>
    <w:pPr>
      <w:spacing w:after="0" w:line="240" w:lineRule="auto"/>
    </w:pPr>
    <w:rPr>
      <w:color w:val="602C5E" w:themeColor="accent3" w:themeShade="BF"/>
    </w:rPr>
    <w:tblPr>
      <w:tblStyleRowBandSize w:val="1"/>
      <w:tblStyleColBandSize w:val="1"/>
      <w:tblBorders>
        <w:top w:val="single" w:sz="4" w:space="0" w:color="C27ABF" w:themeColor="accent3" w:themeTint="99"/>
        <w:left w:val="single" w:sz="4" w:space="0" w:color="C27ABF" w:themeColor="accent3" w:themeTint="99"/>
        <w:bottom w:val="single" w:sz="4" w:space="0" w:color="C27ABF" w:themeColor="accent3" w:themeTint="99"/>
        <w:right w:val="single" w:sz="4" w:space="0" w:color="C27ABF" w:themeColor="accent3" w:themeTint="99"/>
        <w:insideH w:val="single" w:sz="4" w:space="0" w:color="C27ABF" w:themeColor="accent3" w:themeTint="99"/>
        <w:insideV w:val="single" w:sz="4" w:space="0" w:color="C27AB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7A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7A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183512"/>
    <w:pPr>
      <w:spacing w:after="0" w:line="240" w:lineRule="auto"/>
    </w:pPr>
    <w:rPr>
      <w:color w:val="265682" w:themeColor="accent4" w:themeShade="BF"/>
    </w:rPr>
    <w:tblPr>
      <w:tblStyleRowBandSize w:val="1"/>
      <w:tblStyleColBandSize w:val="1"/>
      <w:tblBorders>
        <w:top w:val="single" w:sz="4" w:space="0" w:color="7AABD8" w:themeColor="accent4" w:themeTint="99"/>
        <w:left w:val="single" w:sz="4" w:space="0" w:color="7AABD8" w:themeColor="accent4" w:themeTint="99"/>
        <w:bottom w:val="single" w:sz="4" w:space="0" w:color="7AABD8" w:themeColor="accent4" w:themeTint="99"/>
        <w:right w:val="single" w:sz="4" w:space="0" w:color="7AABD8" w:themeColor="accent4" w:themeTint="99"/>
        <w:insideH w:val="single" w:sz="4" w:space="0" w:color="7AABD8" w:themeColor="accent4" w:themeTint="99"/>
        <w:insideV w:val="single" w:sz="4" w:space="0" w:color="7AAB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AAB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AB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183512"/>
    <w:pPr>
      <w:spacing w:after="0" w:line="240" w:lineRule="auto"/>
    </w:pPr>
    <w:rPr>
      <w:color w:val="603835" w:themeColor="accent5" w:themeShade="BF"/>
    </w:rPr>
    <w:tblPr>
      <w:tblStyleRowBandSize w:val="1"/>
      <w:tblStyleColBandSize w:val="1"/>
      <w:tblBorders>
        <w:top w:val="single" w:sz="4" w:space="0" w:color="BD8A87" w:themeColor="accent5" w:themeTint="99"/>
        <w:left w:val="single" w:sz="4" w:space="0" w:color="BD8A87" w:themeColor="accent5" w:themeTint="99"/>
        <w:bottom w:val="single" w:sz="4" w:space="0" w:color="BD8A87" w:themeColor="accent5" w:themeTint="99"/>
        <w:right w:val="single" w:sz="4" w:space="0" w:color="BD8A87" w:themeColor="accent5" w:themeTint="99"/>
        <w:insideH w:val="single" w:sz="4" w:space="0" w:color="BD8A87" w:themeColor="accent5" w:themeTint="99"/>
        <w:insideV w:val="single" w:sz="4" w:space="0" w:color="BD8A8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D8A8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8A8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183512"/>
    <w:pPr>
      <w:spacing w:after="0" w:line="240" w:lineRule="auto"/>
    </w:pPr>
    <w:rPr>
      <w:color w:val="307564" w:themeColor="accent6" w:themeShade="BF"/>
    </w:rPr>
    <w:tblPr>
      <w:tblStyleRowBandSize w:val="1"/>
      <w:tblStyleColBandSize w:val="1"/>
      <w:tblBorders>
        <w:top w:val="single" w:sz="4" w:space="0" w:color="84CCBB" w:themeColor="accent6" w:themeTint="99"/>
        <w:left w:val="single" w:sz="4" w:space="0" w:color="84CCBB" w:themeColor="accent6" w:themeTint="99"/>
        <w:bottom w:val="single" w:sz="4" w:space="0" w:color="84CCBB" w:themeColor="accent6" w:themeTint="99"/>
        <w:right w:val="single" w:sz="4" w:space="0" w:color="84CCBB" w:themeColor="accent6" w:themeTint="99"/>
        <w:insideH w:val="single" w:sz="4" w:space="0" w:color="84CCBB" w:themeColor="accent6" w:themeTint="99"/>
        <w:insideV w:val="single" w:sz="4" w:space="0" w:color="84CCB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4CC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CC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183512"/>
    <w:pPr>
      <w:spacing w:after="0" w:line="240" w:lineRule="auto"/>
    </w:pPr>
    <w:rPr>
      <w:color w:val="942B2C" w:themeColor="accent1" w:themeShade="BF"/>
    </w:rPr>
    <w:tblPr>
      <w:tblStyleRowBandSize w:val="1"/>
      <w:tblStyleColBandSize w:val="1"/>
      <w:tblBorders>
        <w:top w:val="single" w:sz="4" w:space="0" w:color="DC898A" w:themeColor="accent1" w:themeTint="99"/>
        <w:left w:val="single" w:sz="4" w:space="0" w:color="DC898A" w:themeColor="accent1" w:themeTint="99"/>
        <w:bottom w:val="single" w:sz="4" w:space="0" w:color="DC898A" w:themeColor="accent1" w:themeTint="99"/>
        <w:right w:val="single" w:sz="4" w:space="0" w:color="DC898A" w:themeColor="accent1" w:themeTint="99"/>
        <w:insideH w:val="single" w:sz="4" w:space="0" w:color="DC898A" w:themeColor="accent1" w:themeTint="99"/>
        <w:insideV w:val="single" w:sz="4" w:space="0" w:color="DC898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  <w:tblStylePr w:type="neCell">
      <w:tblPr/>
      <w:tcPr>
        <w:tcBorders>
          <w:bottom w:val="single" w:sz="4" w:space="0" w:color="DC898A" w:themeColor="accent1" w:themeTint="99"/>
        </w:tcBorders>
      </w:tcPr>
    </w:tblStylePr>
    <w:tblStylePr w:type="nwCell">
      <w:tblPr/>
      <w:tcPr>
        <w:tcBorders>
          <w:bottom w:val="single" w:sz="4" w:space="0" w:color="DC898A" w:themeColor="accent1" w:themeTint="99"/>
        </w:tcBorders>
      </w:tcPr>
    </w:tblStylePr>
    <w:tblStylePr w:type="seCell">
      <w:tblPr/>
      <w:tcPr>
        <w:tcBorders>
          <w:top w:val="single" w:sz="4" w:space="0" w:color="DC898A" w:themeColor="accent1" w:themeTint="99"/>
        </w:tcBorders>
      </w:tcPr>
    </w:tblStylePr>
    <w:tblStylePr w:type="swCell">
      <w:tblPr/>
      <w:tcPr>
        <w:tcBorders>
          <w:top w:val="single" w:sz="4" w:space="0" w:color="DC898A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183512"/>
    <w:pPr>
      <w:spacing w:after="0" w:line="240" w:lineRule="auto"/>
    </w:pPr>
    <w:rPr>
      <w:color w:val="EE7508" w:themeColor="accent2" w:themeShade="BF"/>
    </w:rPr>
    <w:tblPr>
      <w:tblStyleRowBandSize w:val="1"/>
      <w:tblStyleColBandSize w:val="1"/>
      <w:tblBorders>
        <w:top w:val="single" w:sz="4" w:space="0" w:color="FBC696" w:themeColor="accent2" w:themeTint="99"/>
        <w:left w:val="single" w:sz="4" w:space="0" w:color="FBC696" w:themeColor="accent2" w:themeTint="99"/>
        <w:bottom w:val="single" w:sz="4" w:space="0" w:color="FBC696" w:themeColor="accent2" w:themeTint="99"/>
        <w:right w:val="single" w:sz="4" w:space="0" w:color="FBC696" w:themeColor="accent2" w:themeTint="99"/>
        <w:insideH w:val="single" w:sz="4" w:space="0" w:color="FBC696" w:themeColor="accent2" w:themeTint="99"/>
        <w:insideV w:val="single" w:sz="4" w:space="0" w:color="FBC69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  <w:tblStylePr w:type="neCell">
      <w:tblPr/>
      <w:tcPr>
        <w:tcBorders>
          <w:bottom w:val="single" w:sz="4" w:space="0" w:color="FBC696" w:themeColor="accent2" w:themeTint="99"/>
        </w:tcBorders>
      </w:tcPr>
    </w:tblStylePr>
    <w:tblStylePr w:type="nwCell">
      <w:tblPr/>
      <w:tcPr>
        <w:tcBorders>
          <w:bottom w:val="single" w:sz="4" w:space="0" w:color="FBC696" w:themeColor="accent2" w:themeTint="99"/>
        </w:tcBorders>
      </w:tcPr>
    </w:tblStylePr>
    <w:tblStylePr w:type="seCell">
      <w:tblPr/>
      <w:tcPr>
        <w:tcBorders>
          <w:top w:val="single" w:sz="4" w:space="0" w:color="FBC696" w:themeColor="accent2" w:themeTint="99"/>
        </w:tcBorders>
      </w:tcPr>
    </w:tblStylePr>
    <w:tblStylePr w:type="swCell">
      <w:tblPr/>
      <w:tcPr>
        <w:tcBorders>
          <w:top w:val="single" w:sz="4" w:space="0" w:color="FBC696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183512"/>
    <w:pPr>
      <w:spacing w:after="0" w:line="240" w:lineRule="auto"/>
    </w:pPr>
    <w:rPr>
      <w:color w:val="602C5E" w:themeColor="accent3" w:themeShade="BF"/>
    </w:rPr>
    <w:tblPr>
      <w:tblStyleRowBandSize w:val="1"/>
      <w:tblStyleColBandSize w:val="1"/>
      <w:tblBorders>
        <w:top w:val="single" w:sz="4" w:space="0" w:color="C27ABF" w:themeColor="accent3" w:themeTint="99"/>
        <w:left w:val="single" w:sz="4" w:space="0" w:color="C27ABF" w:themeColor="accent3" w:themeTint="99"/>
        <w:bottom w:val="single" w:sz="4" w:space="0" w:color="C27ABF" w:themeColor="accent3" w:themeTint="99"/>
        <w:right w:val="single" w:sz="4" w:space="0" w:color="C27ABF" w:themeColor="accent3" w:themeTint="99"/>
        <w:insideH w:val="single" w:sz="4" w:space="0" w:color="C27ABF" w:themeColor="accent3" w:themeTint="99"/>
        <w:insideV w:val="single" w:sz="4" w:space="0" w:color="C27AB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  <w:tblStylePr w:type="neCell">
      <w:tblPr/>
      <w:tcPr>
        <w:tcBorders>
          <w:bottom w:val="single" w:sz="4" w:space="0" w:color="C27ABF" w:themeColor="accent3" w:themeTint="99"/>
        </w:tcBorders>
      </w:tcPr>
    </w:tblStylePr>
    <w:tblStylePr w:type="nwCell">
      <w:tblPr/>
      <w:tcPr>
        <w:tcBorders>
          <w:bottom w:val="single" w:sz="4" w:space="0" w:color="C27ABF" w:themeColor="accent3" w:themeTint="99"/>
        </w:tcBorders>
      </w:tcPr>
    </w:tblStylePr>
    <w:tblStylePr w:type="seCell">
      <w:tblPr/>
      <w:tcPr>
        <w:tcBorders>
          <w:top w:val="single" w:sz="4" w:space="0" w:color="C27ABF" w:themeColor="accent3" w:themeTint="99"/>
        </w:tcBorders>
      </w:tcPr>
    </w:tblStylePr>
    <w:tblStylePr w:type="swCell">
      <w:tblPr/>
      <w:tcPr>
        <w:tcBorders>
          <w:top w:val="single" w:sz="4" w:space="0" w:color="C27ABF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183512"/>
    <w:pPr>
      <w:spacing w:after="0" w:line="240" w:lineRule="auto"/>
    </w:pPr>
    <w:rPr>
      <w:color w:val="265682" w:themeColor="accent4" w:themeShade="BF"/>
    </w:rPr>
    <w:tblPr>
      <w:tblStyleRowBandSize w:val="1"/>
      <w:tblStyleColBandSize w:val="1"/>
      <w:tblBorders>
        <w:top w:val="single" w:sz="4" w:space="0" w:color="7AABD8" w:themeColor="accent4" w:themeTint="99"/>
        <w:left w:val="single" w:sz="4" w:space="0" w:color="7AABD8" w:themeColor="accent4" w:themeTint="99"/>
        <w:bottom w:val="single" w:sz="4" w:space="0" w:color="7AABD8" w:themeColor="accent4" w:themeTint="99"/>
        <w:right w:val="single" w:sz="4" w:space="0" w:color="7AABD8" w:themeColor="accent4" w:themeTint="99"/>
        <w:insideH w:val="single" w:sz="4" w:space="0" w:color="7AABD8" w:themeColor="accent4" w:themeTint="99"/>
        <w:insideV w:val="single" w:sz="4" w:space="0" w:color="7AAB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  <w:tblStylePr w:type="neCell">
      <w:tblPr/>
      <w:tcPr>
        <w:tcBorders>
          <w:bottom w:val="single" w:sz="4" w:space="0" w:color="7AABD8" w:themeColor="accent4" w:themeTint="99"/>
        </w:tcBorders>
      </w:tcPr>
    </w:tblStylePr>
    <w:tblStylePr w:type="nwCell">
      <w:tblPr/>
      <w:tcPr>
        <w:tcBorders>
          <w:bottom w:val="single" w:sz="4" w:space="0" w:color="7AABD8" w:themeColor="accent4" w:themeTint="99"/>
        </w:tcBorders>
      </w:tcPr>
    </w:tblStylePr>
    <w:tblStylePr w:type="seCell">
      <w:tblPr/>
      <w:tcPr>
        <w:tcBorders>
          <w:top w:val="single" w:sz="4" w:space="0" w:color="7AABD8" w:themeColor="accent4" w:themeTint="99"/>
        </w:tcBorders>
      </w:tcPr>
    </w:tblStylePr>
    <w:tblStylePr w:type="swCell">
      <w:tblPr/>
      <w:tcPr>
        <w:tcBorders>
          <w:top w:val="single" w:sz="4" w:space="0" w:color="7AABD8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183512"/>
    <w:pPr>
      <w:spacing w:after="0" w:line="240" w:lineRule="auto"/>
    </w:pPr>
    <w:rPr>
      <w:color w:val="603835" w:themeColor="accent5" w:themeShade="BF"/>
    </w:rPr>
    <w:tblPr>
      <w:tblStyleRowBandSize w:val="1"/>
      <w:tblStyleColBandSize w:val="1"/>
      <w:tblBorders>
        <w:top w:val="single" w:sz="4" w:space="0" w:color="BD8A87" w:themeColor="accent5" w:themeTint="99"/>
        <w:left w:val="single" w:sz="4" w:space="0" w:color="BD8A87" w:themeColor="accent5" w:themeTint="99"/>
        <w:bottom w:val="single" w:sz="4" w:space="0" w:color="BD8A87" w:themeColor="accent5" w:themeTint="99"/>
        <w:right w:val="single" w:sz="4" w:space="0" w:color="BD8A87" w:themeColor="accent5" w:themeTint="99"/>
        <w:insideH w:val="single" w:sz="4" w:space="0" w:color="BD8A87" w:themeColor="accent5" w:themeTint="99"/>
        <w:insideV w:val="single" w:sz="4" w:space="0" w:color="BD8A8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  <w:tblStylePr w:type="neCell">
      <w:tblPr/>
      <w:tcPr>
        <w:tcBorders>
          <w:bottom w:val="single" w:sz="4" w:space="0" w:color="BD8A87" w:themeColor="accent5" w:themeTint="99"/>
        </w:tcBorders>
      </w:tcPr>
    </w:tblStylePr>
    <w:tblStylePr w:type="nwCell">
      <w:tblPr/>
      <w:tcPr>
        <w:tcBorders>
          <w:bottom w:val="single" w:sz="4" w:space="0" w:color="BD8A87" w:themeColor="accent5" w:themeTint="99"/>
        </w:tcBorders>
      </w:tcPr>
    </w:tblStylePr>
    <w:tblStylePr w:type="seCell">
      <w:tblPr/>
      <w:tcPr>
        <w:tcBorders>
          <w:top w:val="single" w:sz="4" w:space="0" w:color="BD8A87" w:themeColor="accent5" w:themeTint="99"/>
        </w:tcBorders>
      </w:tcPr>
    </w:tblStylePr>
    <w:tblStylePr w:type="swCell">
      <w:tblPr/>
      <w:tcPr>
        <w:tcBorders>
          <w:top w:val="single" w:sz="4" w:space="0" w:color="BD8A87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183512"/>
    <w:pPr>
      <w:spacing w:after="0" w:line="240" w:lineRule="auto"/>
    </w:pPr>
    <w:rPr>
      <w:color w:val="307564" w:themeColor="accent6" w:themeShade="BF"/>
    </w:rPr>
    <w:tblPr>
      <w:tblStyleRowBandSize w:val="1"/>
      <w:tblStyleColBandSize w:val="1"/>
      <w:tblBorders>
        <w:top w:val="single" w:sz="4" w:space="0" w:color="84CCBB" w:themeColor="accent6" w:themeTint="99"/>
        <w:left w:val="single" w:sz="4" w:space="0" w:color="84CCBB" w:themeColor="accent6" w:themeTint="99"/>
        <w:bottom w:val="single" w:sz="4" w:space="0" w:color="84CCBB" w:themeColor="accent6" w:themeTint="99"/>
        <w:right w:val="single" w:sz="4" w:space="0" w:color="84CCBB" w:themeColor="accent6" w:themeTint="99"/>
        <w:insideH w:val="single" w:sz="4" w:space="0" w:color="84CCBB" w:themeColor="accent6" w:themeTint="99"/>
        <w:insideV w:val="single" w:sz="4" w:space="0" w:color="84CC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  <w:tblStylePr w:type="neCell">
      <w:tblPr/>
      <w:tcPr>
        <w:tcBorders>
          <w:bottom w:val="single" w:sz="4" w:space="0" w:color="84CCBB" w:themeColor="accent6" w:themeTint="99"/>
        </w:tcBorders>
      </w:tcPr>
    </w:tblStylePr>
    <w:tblStylePr w:type="nwCell">
      <w:tblPr/>
      <w:tcPr>
        <w:tcBorders>
          <w:bottom w:val="single" w:sz="4" w:space="0" w:color="84CCBB" w:themeColor="accent6" w:themeTint="99"/>
        </w:tcBorders>
      </w:tcPr>
    </w:tblStylePr>
    <w:tblStylePr w:type="seCell">
      <w:tblPr/>
      <w:tcPr>
        <w:tcBorders>
          <w:top w:val="single" w:sz="4" w:space="0" w:color="84CCBB" w:themeColor="accent6" w:themeTint="99"/>
        </w:tcBorders>
      </w:tcPr>
    </w:tblStylePr>
    <w:tblStylePr w:type="swCell">
      <w:tblPr/>
      <w:tcPr>
        <w:tcBorders>
          <w:top w:val="single" w:sz="4" w:space="0" w:color="84CCBB" w:themeColor="accent6" w:themeTint="99"/>
        </w:tcBorders>
      </w:tcPr>
    </w:tblStylePr>
  </w:style>
  <w:style w:type="character" w:styleId="Hashtag">
    <w:name w:val="Hashtag"/>
    <w:basedOn w:val="Carpredefinitoparagrafo"/>
    <w:uiPriority w:val="99"/>
    <w:semiHidden/>
    <w:unhideWhenUsed/>
    <w:rsid w:val="00183512"/>
    <w:rPr>
      <w:color w:val="2B579A"/>
      <w:shd w:val="clear" w:color="auto" w:fill="E6E6E6"/>
    </w:rPr>
  </w:style>
  <w:style w:type="character" w:styleId="AcronimoHTML">
    <w:name w:val="HTML Acronym"/>
    <w:basedOn w:val="Carpredefinitoparagrafo"/>
    <w:uiPriority w:val="99"/>
    <w:semiHidden/>
    <w:unhideWhenUsed/>
    <w:rsid w:val="00183512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83512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83512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183512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183512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183512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183512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83512"/>
    <w:pPr>
      <w:spacing w:after="0" w:line="240" w:lineRule="auto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83512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183512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183512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183512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1093D"/>
    <w:rPr>
      <w:color w:val="D8217C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183512"/>
    <w:pPr>
      <w:spacing w:after="0" w:line="240" w:lineRule="auto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183512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183512"/>
    <w:rPr>
      <w:i/>
      <w:iCs/>
      <w:color w:val="C63B3D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183512"/>
    <w:pPr>
      <w:pBdr>
        <w:top w:val="single" w:sz="4" w:space="10" w:color="C63B3D" w:themeColor="accent1"/>
        <w:bottom w:val="single" w:sz="4" w:space="10" w:color="C63B3D" w:themeColor="accent1"/>
      </w:pBdr>
      <w:spacing w:before="360" w:after="360"/>
      <w:ind w:left="864" w:right="864"/>
      <w:jc w:val="center"/>
    </w:pPr>
    <w:rPr>
      <w:i/>
      <w:iCs/>
      <w:color w:val="C63B3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183512"/>
    <w:rPr>
      <w:i/>
      <w:iCs/>
      <w:color w:val="C63B3D" w:themeColor="accent1"/>
    </w:rPr>
  </w:style>
  <w:style w:type="table" w:styleId="Grigliachiara">
    <w:name w:val="Light Grid"/>
    <w:basedOn w:val="Tabellanormale"/>
    <w:uiPriority w:val="62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C63B3D" w:themeColor="accent1"/>
        <w:left w:val="single" w:sz="8" w:space="0" w:color="C63B3D" w:themeColor="accent1"/>
        <w:bottom w:val="single" w:sz="8" w:space="0" w:color="C63B3D" w:themeColor="accent1"/>
        <w:right w:val="single" w:sz="8" w:space="0" w:color="C63B3D" w:themeColor="accent1"/>
        <w:insideH w:val="single" w:sz="8" w:space="0" w:color="C63B3D" w:themeColor="accent1"/>
        <w:insideV w:val="single" w:sz="8" w:space="0" w:color="C63B3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3B3D" w:themeColor="accent1"/>
          <w:left w:val="single" w:sz="8" w:space="0" w:color="C63B3D" w:themeColor="accent1"/>
          <w:bottom w:val="single" w:sz="18" w:space="0" w:color="C63B3D" w:themeColor="accent1"/>
          <w:right w:val="single" w:sz="8" w:space="0" w:color="C63B3D" w:themeColor="accent1"/>
          <w:insideH w:val="nil"/>
          <w:insideV w:val="single" w:sz="8" w:space="0" w:color="C63B3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  <w:insideH w:val="nil"/>
          <w:insideV w:val="single" w:sz="8" w:space="0" w:color="C63B3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</w:tcBorders>
      </w:tcPr>
    </w:tblStylePr>
    <w:tblStylePr w:type="band1Vert">
      <w:tblPr/>
      <w:tcPr>
        <w:tcBorders>
          <w:top w:val="single" w:sz="8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</w:tcBorders>
        <w:shd w:val="clear" w:color="auto" w:fill="F1CECE" w:themeFill="accent1" w:themeFillTint="3F"/>
      </w:tcPr>
    </w:tblStylePr>
    <w:tblStylePr w:type="band1Horz">
      <w:tblPr/>
      <w:tcPr>
        <w:tcBorders>
          <w:top w:val="single" w:sz="8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  <w:insideV w:val="single" w:sz="8" w:space="0" w:color="C63B3D" w:themeColor="accent1"/>
        </w:tcBorders>
        <w:shd w:val="clear" w:color="auto" w:fill="F1CECE" w:themeFill="accent1" w:themeFillTint="3F"/>
      </w:tcPr>
    </w:tblStylePr>
    <w:tblStylePr w:type="band2Horz">
      <w:tblPr/>
      <w:tcPr>
        <w:tcBorders>
          <w:top w:val="single" w:sz="8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  <w:insideV w:val="single" w:sz="8" w:space="0" w:color="C63B3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9A151" w:themeColor="accent2"/>
        <w:left w:val="single" w:sz="8" w:space="0" w:color="F9A151" w:themeColor="accent2"/>
        <w:bottom w:val="single" w:sz="8" w:space="0" w:color="F9A151" w:themeColor="accent2"/>
        <w:right w:val="single" w:sz="8" w:space="0" w:color="F9A151" w:themeColor="accent2"/>
        <w:insideH w:val="single" w:sz="8" w:space="0" w:color="F9A151" w:themeColor="accent2"/>
        <w:insideV w:val="single" w:sz="8" w:space="0" w:color="F9A15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51" w:themeColor="accent2"/>
          <w:left w:val="single" w:sz="8" w:space="0" w:color="F9A151" w:themeColor="accent2"/>
          <w:bottom w:val="single" w:sz="18" w:space="0" w:color="F9A151" w:themeColor="accent2"/>
          <w:right w:val="single" w:sz="8" w:space="0" w:color="F9A151" w:themeColor="accent2"/>
          <w:insideH w:val="nil"/>
          <w:insideV w:val="single" w:sz="8" w:space="0" w:color="F9A15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  <w:insideH w:val="nil"/>
          <w:insideV w:val="single" w:sz="8" w:space="0" w:color="F9A15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</w:tcBorders>
      </w:tcPr>
    </w:tblStylePr>
    <w:tblStylePr w:type="band1Vert">
      <w:tblPr/>
      <w:tcPr>
        <w:tcBorders>
          <w:top w:val="single" w:sz="8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</w:tcBorders>
        <w:shd w:val="clear" w:color="auto" w:fill="FDE7D3" w:themeFill="accent2" w:themeFillTint="3F"/>
      </w:tcPr>
    </w:tblStylePr>
    <w:tblStylePr w:type="band1Horz">
      <w:tblPr/>
      <w:tcPr>
        <w:tcBorders>
          <w:top w:val="single" w:sz="8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  <w:insideV w:val="single" w:sz="8" w:space="0" w:color="F9A151" w:themeColor="accent2"/>
        </w:tcBorders>
        <w:shd w:val="clear" w:color="auto" w:fill="FDE7D3" w:themeFill="accent2" w:themeFillTint="3F"/>
      </w:tcPr>
    </w:tblStylePr>
    <w:tblStylePr w:type="band2Horz">
      <w:tblPr/>
      <w:tcPr>
        <w:tcBorders>
          <w:top w:val="single" w:sz="8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  <w:insideV w:val="single" w:sz="8" w:space="0" w:color="F9A15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813B7E" w:themeColor="accent3"/>
        <w:left w:val="single" w:sz="8" w:space="0" w:color="813B7E" w:themeColor="accent3"/>
        <w:bottom w:val="single" w:sz="8" w:space="0" w:color="813B7E" w:themeColor="accent3"/>
        <w:right w:val="single" w:sz="8" w:space="0" w:color="813B7E" w:themeColor="accent3"/>
        <w:insideH w:val="single" w:sz="8" w:space="0" w:color="813B7E" w:themeColor="accent3"/>
        <w:insideV w:val="single" w:sz="8" w:space="0" w:color="813B7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13B7E" w:themeColor="accent3"/>
          <w:left w:val="single" w:sz="8" w:space="0" w:color="813B7E" w:themeColor="accent3"/>
          <w:bottom w:val="single" w:sz="18" w:space="0" w:color="813B7E" w:themeColor="accent3"/>
          <w:right w:val="single" w:sz="8" w:space="0" w:color="813B7E" w:themeColor="accent3"/>
          <w:insideH w:val="nil"/>
          <w:insideV w:val="single" w:sz="8" w:space="0" w:color="813B7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  <w:insideH w:val="nil"/>
          <w:insideV w:val="single" w:sz="8" w:space="0" w:color="813B7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</w:tcBorders>
      </w:tcPr>
    </w:tblStylePr>
    <w:tblStylePr w:type="band1Vert">
      <w:tblPr/>
      <w:tcPr>
        <w:tcBorders>
          <w:top w:val="single" w:sz="8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</w:tcBorders>
        <w:shd w:val="clear" w:color="auto" w:fill="E6C8E4" w:themeFill="accent3" w:themeFillTint="3F"/>
      </w:tcPr>
    </w:tblStylePr>
    <w:tblStylePr w:type="band1Horz">
      <w:tblPr/>
      <w:tcPr>
        <w:tcBorders>
          <w:top w:val="single" w:sz="8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  <w:insideV w:val="single" w:sz="8" w:space="0" w:color="813B7E" w:themeColor="accent3"/>
        </w:tcBorders>
        <w:shd w:val="clear" w:color="auto" w:fill="E6C8E4" w:themeFill="accent3" w:themeFillTint="3F"/>
      </w:tcPr>
    </w:tblStylePr>
    <w:tblStylePr w:type="band2Horz">
      <w:tblPr/>
      <w:tcPr>
        <w:tcBorders>
          <w:top w:val="single" w:sz="8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  <w:insideV w:val="single" w:sz="8" w:space="0" w:color="813B7E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3374AF" w:themeColor="accent4"/>
        <w:left w:val="single" w:sz="8" w:space="0" w:color="3374AF" w:themeColor="accent4"/>
        <w:bottom w:val="single" w:sz="8" w:space="0" w:color="3374AF" w:themeColor="accent4"/>
        <w:right w:val="single" w:sz="8" w:space="0" w:color="3374AF" w:themeColor="accent4"/>
        <w:insideH w:val="single" w:sz="8" w:space="0" w:color="3374AF" w:themeColor="accent4"/>
        <w:insideV w:val="single" w:sz="8" w:space="0" w:color="3374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74AF" w:themeColor="accent4"/>
          <w:left w:val="single" w:sz="8" w:space="0" w:color="3374AF" w:themeColor="accent4"/>
          <w:bottom w:val="single" w:sz="18" w:space="0" w:color="3374AF" w:themeColor="accent4"/>
          <w:right w:val="single" w:sz="8" w:space="0" w:color="3374AF" w:themeColor="accent4"/>
          <w:insideH w:val="nil"/>
          <w:insideV w:val="single" w:sz="8" w:space="0" w:color="3374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  <w:insideH w:val="nil"/>
          <w:insideV w:val="single" w:sz="8" w:space="0" w:color="3374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</w:tcBorders>
      </w:tcPr>
    </w:tblStylePr>
    <w:tblStylePr w:type="band1Vert">
      <w:tblPr/>
      <w:tcPr>
        <w:tcBorders>
          <w:top w:val="single" w:sz="8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</w:tcBorders>
        <w:shd w:val="clear" w:color="auto" w:fill="C8DCEF" w:themeFill="accent4" w:themeFillTint="3F"/>
      </w:tcPr>
    </w:tblStylePr>
    <w:tblStylePr w:type="band1Horz">
      <w:tblPr/>
      <w:tcPr>
        <w:tcBorders>
          <w:top w:val="single" w:sz="8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  <w:insideV w:val="single" w:sz="8" w:space="0" w:color="3374AF" w:themeColor="accent4"/>
        </w:tcBorders>
        <w:shd w:val="clear" w:color="auto" w:fill="C8DCEF" w:themeFill="accent4" w:themeFillTint="3F"/>
      </w:tcPr>
    </w:tblStylePr>
    <w:tblStylePr w:type="band2Horz">
      <w:tblPr/>
      <w:tcPr>
        <w:tcBorders>
          <w:top w:val="single" w:sz="8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  <w:insideV w:val="single" w:sz="8" w:space="0" w:color="3374AF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814B47" w:themeColor="accent5"/>
        <w:left w:val="single" w:sz="8" w:space="0" w:color="814B47" w:themeColor="accent5"/>
        <w:bottom w:val="single" w:sz="8" w:space="0" w:color="814B47" w:themeColor="accent5"/>
        <w:right w:val="single" w:sz="8" w:space="0" w:color="814B47" w:themeColor="accent5"/>
        <w:insideH w:val="single" w:sz="8" w:space="0" w:color="814B47" w:themeColor="accent5"/>
        <w:insideV w:val="single" w:sz="8" w:space="0" w:color="814B4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14B47" w:themeColor="accent5"/>
          <w:left w:val="single" w:sz="8" w:space="0" w:color="814B47" w:themeColor="accent5"/>
          <w:bottom w:val="single" w:sz="18" w:space="0" w:color="814B47" w:themeColor="accent5"/>
          <w:right w:val="single" w:sz="8" w:space="0" w:color="814B47" w:themeColor="accent5"/>
          <w:insideH w:val="nil"/>
          <w:insideV w:val="single" w:sz="8" w:space="0" w:color="814B4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  <w:insideH w:val="nil"/>
          <w:insideV w:val="single" w:sz="8" w:space="0" w:color="814B4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</w:tcBorders>
      </w:tcPr>
    </w:tblStylePr>
    <w:tblStylePr w:type="band1Vert">
      <w:tblPr/>
      <w:tcPr>
        <w:tcBorders>
          <w:top w:val="single" w:sz="8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</w:tcBorders>
        <w:shd w:val="clear" w:color="auto" w:fill="E3CECD" w:themeFill="accent5" w:themeFillTint="3F"/>
      </w:tcPr>
    </w:tblStylePr>
    <w:tblStylePr w:type="band1Horz">
      <w:tblPr/>
      <w:tcPr>
        <w:tcBorders>
          <w:top w:val="single" w:sz="8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  <w:insideV w:val="single" w:sz="8" w:space="0" w:color="814B47" w:themeColor="accent5"/>
        </w:tcBorders>
        <w:shd w:val="clear" w:color="auto" w:fill="E3CECD" w:themeFill="accent5" w:themeFillTint="3F"/>
      </w:tcPr>
    </w:tblStylePr>
    <w:tblStylePr w:type="band2Horz">
      <w:tblPr/>
      <w:tcPr>
        <w:tcBorders>
          <w:top w:val="single" w:sz="8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  <w:insideV w:val="single" w:sz="8" w:space="0" w:color="814B47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419D87" w:themeColor="accent6"/>
        <w:left w:val="single" w:sz="8" w:space="0" w:color="419D87" w:themeColor="accent6"/>
        <w:bottom w:val="single" w:sz="8" w:space="0" w:color="419D87" w:themeColor="accent6"/>
        <w:right w:val="single" w:sz="8" w:space="0" w:color="419D87" w:themeColor="accent6"/>
        <w:insideH w:val="single" w:sz="8" w:space="0" w:color="419D87" w:themeColor="accent6"/>
        <w:insideV w:val="single" w:sz="8" w:space="0" w:color="419D8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9D87" w:themeColor="accent6"/>
          <w:left w:val="single" w:sz="8" w:space="0" w:color="419D87" w:themeColor="accent6"/>
          <w:bottom w:val="single" w:sz="18" w:space="0" w:color="419D87" w:themeColor="accent6"/>
          <w:right w:val="single" w:sz="8" w:space="0" w:color="419D87" w:themeColor="accent6"/>
          <w:insideH w:val="nil"/>
          <w:insideV w:val="single" w:sz="8" w:space="0" w:color="419D8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  <w:insideH w:val="nil"/>
          <w:insideV w:val="single" w:sz="8" w:space="0" w:color="419D8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</w:tcBorders>
      </w:tcPr>
    </w:tblStylePr>
    <w:tblStylePr w:type="band1Vert">
      <w:tblPr/>
      <w:tcPr>
        <w:tcBorders>
          <w:top w:val="single" w:sz="8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</w:tcBorders>
        <w:shd w:val="clear" w:color="auto" w:fill="CCEAE3" w:themeFill="accent6" w:themeFillTint="3F"/>
      </w:tcPr>
    </w:tblStylePr>
    <w:tblStylePr w:type="band1Horz">
      <w:tblPr/>
      <w:tcPr>
        <w:tcBorders>
          <w:top w:val="single" w:sz="8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  <w:insideV w:val="single" w:sz="8" w:space="0" w:color="419D87" w:themeColor="accent6"/>
        </w:tcBorders>
        <w:shd w:val="clear" w:color="auto" w:fill="CCEAE3" w:themeFill="accent6" w:themeFillTint="3F"/>
      </w:tcPr>
    </w:tblStylePr>
    <w:tblStylePr w:type="band2Horz">
      <w:tblPr/>
      <w:tcPr>
        <w:tcBorders>
          <w:top w:val="single" w:sz="8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  <w:insideV w:val="single" w:sz="8" w:space="0" w:color="419D8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C63B3D" w:themeColor="accent1"/>
        <w:left w:val="single" w:sz="8" w:space="0" w:color="C63B3D" w:themeColor="accent1"/>
        <w:bottom w:val="single" w:sz="8" w:space="0" w:color="C63B3D" w:themeColor="accent1"/>
        <w:right w:val="single" w:sz="8" w:space="0" w:color="C63B3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63B3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</w:tcBorders>
      </w:tcPr>
    </w:tblStylePr>
    <w:tblStylePr w:type="band1Horz">
      <w:tblPr/>
      <w:tcPr>
        <w:tcBorders>
          <w:top w:val="single" w:sz="8" w:space="0" w:color="C63B3D" w:themeColor="accent1"/>
          <w:left w:val="single" w:sz="8" w:space="0" w:color="C63B3D" w:themeColor="accent1"/>
          <w:bottom w:val="single" w:sz="8" w:space="0" w:color="C63B3D" w:themeColor="accent1"/>
          <w:right w:val="single" w:sz="8" w:space="0" w:color="C63B3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9A151" w:themeColor="accent2"/>
        <w:left w:val="single" w:sz="8" w:space="0" w:color="F9A151" w:themeColor="accent2"/>
        <w:bottom w:val="single" w:sz="8" w:space="0" w:color="F9A151" w:themeColor="accent2"/>
        <w:right w:val="single" w:sz="8" w:space="0" w:color="F9A15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15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</w:tcBorders>
      </w:tcPr>
    </w:tblStylePr>
    <w:tblStylePr w:type="band1Horz">
      <w:tblPr/>
      <w:tcPr>
        <w:tcBorders>
          <w:top w:val="single" w:sz="8" w:space="0" w:color="F9A151" w:themeColor="accent2"/>
          <w:left w:val="single" w:sz="8" w:space="0" w:color="F9A151" w:themeColor="accent2"/>
          <w:bottom w:val="single" w:sz="8" w:space="0" w:color="F9A151" w:themeColor="accent2"/>
          <w:right w:val="single" w:sz="8" w:space="0" w:color="F9A15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813B7E" w:themeColor="accent3"/>
        <w:left w:val="single" w:sz="8" w:space="0" w:color="813B7E" w:themeColor="accent3"/>
        <w:bottom w:val="single" w:sz="8" w:space="0" w:color="813B7E" w:themeColor="accent3"/>
        <w:right w:val="single" w:sz="8" w:space="0" w:color="813B7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13B7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</w:tcBorders>
      </w:tcPr>
    </w:tblStylePr>
    <w:tblStylePr w:type="band1Horz">
      <w:tblPr/>
      <w:tcPr>
        <w:tcBorders>
          <w:top w:val="single" w:sz="8" w:space="0" w:color="813B7E" w:themeColor="accent3"/>
          <w:left w:val="single" w:sz="8" w:space="0" w:color="813B7E" w:themeColor="accent3"/>
          <w:bottom w:val="single" w:sz="8" w:space="0" w:color="813B7E" w:themeColor="accent3"/>
          <w:right w:val="single" w:sz="8" w:space="0" w:color="813B7E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3374AF" w:themeColor="accent4"/>
        <w:left w:val="single" w:sz="8" w:space="0" w:color="3374AF" w:themeColor="accent4"/>
        <w:bottom w:val="single" w:sz="8" w:space="0" w:color="3374AF" w:themeColor="accent4"/>
        <w:right w:val="single" w:sz="8" w:space="0" w:color="3374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74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</w:tcBorders>
      </w:tcPr>
    </w:tblStylePr>
    <w:tblStylePr w:type="band1Horz">
      <w:tblPr/>
      <w:tcPr>
        <w:tcBorders>
          <w:top w:val="single" w:sz="8" w:space="0" w:color="3374AF" w:themeColor="accent4"/>
          <w:left w:val="single" w:sz="8" w:space="0" w:color="3374AF" w:themeColor="accent4"/>
          <w:bottom w:val="single" w:sz="8" w:space="0" w:color="3374AF" w:themeColor="accent4"/>
          <w:right w:val="single" w:sz="8" w:space="0" w:color="3374AF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814B47" w:themeColor="accent5"/>
        <w:left w:val="single" w:sz="8" w:space="0" w:color="814B47" w:themeColor="accent5"/>
        <w:bottom w:val="single" w:sz="8" w:space="0" w:color="814B47" w:themeColor="accent5"/>
        <w:right w:val="single" w:sz="8" w:space="0" w:color="814B4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14B4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</w:tcBorders>
      </w:tcPr>
    </w:tblStylePr>
    <w:tblStylePr w:type="band1Horz">
      <w:tblPr/>
      <w:tcPr>
        <w:tcBorders>
          <w:top w:val="single" w:sz="8" w:space="0" w:color="814B47" w:themeColor="accent5"/>
          <w:left w:val="single" w:sz="8" w:space="0" w:color="814B47" w:themeColor="accent5"/>
          <w:bottom w:val="single" w:sz="8" w:space="0" w:color="814B47" w:themeColor="accent5"/>
          <w:right w:val="single" w:sz="8" w:space="0" w:color="814B47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419D87" w:themeColor="accent6"/>
        <w:left w:val="single" w:sz="8" w:space="0" w:color="419D87" w:themeColor="accent6"/>
        <w:bottom w:val="single" w:sz="8" w:space="0" w:color="419D87" w:themeColor="accent6"/>
        <w:right w:val="single" w:sz="8" w:space="0" w:color="419D8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9D8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</w:tcBorders>
      </w:tcPr>
    </w:tblStylePr>
    <w:tblStylePr w:type="band1Horz">
      <w:tblPr/>
      <w:tcPr>
        <w:tcBorders>
          <w:top w:val="single" w:sz="8" w:space="0" w:color="419D87" w:themeColor="accent6"/>
          <w:left w:val="single" w:sz="8" w:space="0" w:color="419D87" w:themeColor="accent6"/>
          <w:bottom w:val="single" w:sz="8" w:space="0" w:color="419D87" w:themeColor="accent6"/>
          <w:right w:val="single" w:sz="8" w:space="0" w:color="419D8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1835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183512"/>
    <w:pPr>
      <w:spacing w:after="0" w:line="240" w:lineRule="auto"/>
    </w:pPr>
    <w:rPr>
      <w:color w:val="942B2C" w:themeColor="accent1" w:themeShade="BF"/>
    </w:rPr>
    <w:tblPr>
      <w:tblStyleRowBandSize w:val="1"/>
      <w:tblStyleColBandSize w:val="1"/>
      <w:tblBorders>
        <w:top w:val="single" w:sz="8" w:space="0" w:color="C63B3D" w:themeColor="accent1"/>
        <w:bottom w:val="single" w:sz="8" w:space="0" w:color="C63B3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3B3D" w:themeColor="accent1"/>
          <w:left w:val="nil"/>
          <w:bottom w:val="single" w:sz="8" w:space="0" w:color="C63B3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3B3D" w:themeColor="accent1"/>
          <w:left w:val="nil"/>
          <w:bottom w:val="single" w:sz="8" w:space="0" w:color="C63B3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EC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EC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183512"/>
    <w:pPr>
      <w:spacing w:after="0" w:line="240" w:lineRule="auto"/>
    </w:pPr>
    <w:rPr>
      <w:color w:val="EE7508" w:themeColor="accent2" w:themeShade="BF"/>
    </w:rPr>
    <w:tblPr>
      <w:tblStyleRowBandSize w:val="1"/>
      <w:tblStyleColBandSize w:val="1"/>
      <w:tblBorders>
        <w:top w:val="single" w:sz="8" w:space="0" w:color="F9A151" w:themeColor="accent2"/>
        <w:bottom w:val="single" w:sz="8" w:space="0" w:color="F9A15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51" w:themeColor="accent2"/>
          <w:left w:val="nil"/>
          <w:bottom w:val="single" w:sz="8" w:space="0" w:color="F9A15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51" w:themeColor="accent2"/>
          <w:left w:val="nil"/>
          <w:bottom w:val="single" w:sz="8" w:space="0" w:color="F9A15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D3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183512"/>
    <w:pPr>
      <w:spacing w:after="0" w:line="240" w:lineRule="auto"/>
    </w:pPr>
    <w:rPr>
      <w:color w:val="602C5E" w:themeColor="accent3" w:themeShade="BF"/>
    </w:rPr>
    <w:tblPr>
      <w:tblStyleRowBandSize w:val="1"/>
      <w:tblStyleColBandSize w:val="1"/>
      <w:tblBorders>
        <w:top w:val="single" w:sz="8" w:space="0" w:color="813B7E" w:themeColor="accent3"/>
        <w:bottom w:val="single" w:sz="8" w:space="0" w:color="813B7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13B7E" w:themeColor="accent3"/>
          <w:left w:val="nil"/>
          <w:bottom w:val="single" w:sz="8" w:space="0" w:color="813B7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13B7E" w:themeColor="accent3"/>
          <w:left w:val="nil"/>
          <w:bottom w:val="single" w:sz="8" w:space="0" w:color="813B7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C8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C8E4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183512"/>
    <w:pPr>
      <w:spacing w:after="0" w:line="240" w:lineRule="auto"/>
    </w:pPr>
    <w:rPr>
      <w:color w:val="265682" w:themeColor="accent4" w:themeShade="BF"/>
    </w:rPr>
    <w:tblPr>
      <w:tblStyleRowBandSize w:val="1"/>
      <w:tblStyleColBandSize w:val="1"/>
      <w:tblBorders>
        <w:top w:val="single" w:sz="8" w:space="0" w:color="3374AF" w:themeColor="accent4"/>
        <w:bottom w:val="single" w:sz="8" w:space="0" w:color="3374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74AF" w:themeColor="accent4"/>
          <w:left w:val="nil"/>
          <w:bottom w:val="single" w:sz="8" w:space="0" w:color="3374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74AF" w:themeColor="accent4"/>
          <w:left w:val="nil"/>
          <w:bottom w:val="single" w:sz="8" w:space="0" w:color="3374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C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DCEF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183512"/>
    <w:pPr>
      <w:spacing w:after="0" w:line="240" w:lineRule="auto"/>
    </w:pPr>
    <w:rPr>
      <w:color w:val="603835" w:themeColor="accent5" w:themeShade="BF"/>
    </w:rPr>
    <w:tblPr>
      <w:tblStyleRowBandSize w:val="1"/>
      <w:tblStyleColBandSize w:val="1"/>
      <w:tblBorders>
        <w:top w:val="single" w:sz="8" w:space="0" w:color="814B47" w:themeColor="accent5"/>
        <w:bottom w:val="single" w:sz="8" w:space="0" w:color="814B4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14B47" w:themeColor="accent5"/>
          <w:left w:val="nil"/>
          <w:bottom w:val="single" w:sz="8" w:space="0" w:color="814B4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14B47" w:themeColor="accent5"/>
          <w:left w:val="nil"/>
          <w:bottom w:val="single" w:sz="8" w:space="0" w:color="814B4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C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CD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183512"/>
    <w:pPr>
      <w:spacing w:after="0" w:line="240" w:lineRule="auto"/>
    </w:pPr>
    <w:rPr>
      <w:color w:val="307564" w:themeColor="accent6" w:themeShade="BF"/>
    </w:rPr>
    <w:tblPr>
      <w:tblStyleRowBandSize w:val="1"/>
      <w:tblStyleColBandSize w:val="1"/>
      <w:tblBorders>
        <w:top w:val="single" w:sz="8" w:space="0" w:color="419D87" w:themeColor="accent6"/>
        <w:bottom w:val="single" w:sz="8" w:space="0" w:color="419D8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9D87" w:themeColor="accent6"/>
          <w:left w:val="nil"/>
          <w:bottom w:val="single" w:sz="8" w:space="0" w:color="419D8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9D87" w:themeColor="accent6"/>
          <w:left w:val="nil"/>
          <w:bottom w:val="single" w:sz="8" w:space="0" w:color="419D8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A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AE3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183512"/>
  </w:style>
  <w:style w:type="paragraph" w:styleId="Elenco">
    <w:name w:val="List"/>
    <w:basedOn w:val="Normale"/>
    <w:uiPriority w:val="99"/>
    <w:semiHidden/>
    <w:unhideWhenUsed/>
    <w:rsid w:val="00183512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183512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183512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183512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183512"/>
    <w:pPr>
      <w:ind w:left="1415" w:hanging="283"/>
      <w:contextualSpacing/>
    </w:pPr>
  </w:style>
  <w:style w:type="paragraph" w:styleId="Puntoelenco2">
    <w:name w:val="List Bullet 2"/>
    <w:basedOn w:val="Normale"/>
    <w:uiPriority w:val="99"/>
    <w:semiHidden/>
    <w:unhideWhenUsed/>
    <w:rsid w:val="00183512"/>
    <w:pPr>
      <w:numPr>
        <w:numId w:val="4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183512"/>
    <w:pPr>
      <w:numPr>
        <w:numId w:val="5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183512"/>
    <w:pPr>
      <w:numPr>
        <w:numId w:val="6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183512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183512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183512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183512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183512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183512"/>
    <w:pPr>
      <w:spacing w:after="120"/>
      <w:ind w:left="1415"/>
      <w:contextualSpacing/>
    </w:pPr>
  </w:style>
  <w:style w:type="paragraph" w:styleId="Numeroelenco2">
    <w:name w:val="List Number 2"/>
    <w:basedOn w:val="Normale"/>
    <w:uiPriority w:val="99"/>
    <w:semiHidden/>
    <w:unhideWhenUsed/>
    <w:rsid w:val="00183512"/>
    <w:pPr>
      <w:numPr>
        <w:numId w:val="8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183512"/>
    <w:pPr>
      <w:numPr>
        <w:numId w:val="9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183512"/>
    <w:pPr>
      <w:numPr>
        <w:numId w:val="10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183512"/>
    <w:pPr>
      <w:numPr>
        <w:numId w:val="11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183512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C898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C898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C6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C6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7A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7A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AB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AB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8A8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8A8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CC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CC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Tabellaelenco2">
    <w:name w:val="List Table 2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DC898A" w:themeColor="accent1" w:themeTint="99"/>
        <w:bottom w:val="single" w:sz="4" w:space="0" w:color="DC898A" w:themeColor="accent1" w:themeTint="99"/>
        <w:insideH w:val="single" w:sz="4" w:space="0" w:color="DC898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BC696" w:themeColor="accent2" w:themeTint="99"/>
        <w:bottom w:val="single" w:sz="4" w:space="0" w:color="FBC696" w:themeColor="accent2" w:themeTint="99"/>
        <w:insideH w:val="single" w:sz="4" w:space="0" w:color="FBC69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C27ABF" w:themeColor="accent3" w:themeTint="99"/>
        <w:bottom w:val="single" w:sz="4" w:space="0" w:color="C27ABF" w:themeColor="accent3" w:themeTint="99"/>
        <w:insideH w:val="single" w:sz="4" w:space="0" w:color="C27AB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7AABD8" w:themeColor="accent4" w:themeTint="99"/>
        <w:bottom w:val="single" w:sz="4" w:space="0" w:color="7AABD8" w:themeColor="accent4" w:themeTint="99"/>
        <w:insideH w:val="single" w:sz="4" w:space="0" w:color="7AAB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BD8A87" w:themeColor="accent5" w:themeTint="99"/>
        <w:bottom w:val="single" w:sz="4" w:space="0" w:color="BD8A87" w:themeColor="accent5" w:themeTint="99"/>
        <w:insideH w:val="single" w:sz="4" w:space="0" w:color="BD8A8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84CCBB" w:themeColor="accent6" w:themeTint="99"/>
        <w:bottom w:val="single" w:sz="4" w:space="0" w:color="84CCBB" w:themeColor="accent6" w:themeTint="99"/>
        <w:insideH w:val="single" w:sz="4" w:space="0" w:color="84CCB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Elencotab3">
    <w:name w:val="List Table 3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C63B3D" w:themeColor="accent1"/>
        <w:left w:val="single" w:sz="4" w:space="0" w:color="C63B3D" w:themeColor="accent1"/>
        <w:bottom w:val="single" w:sz="4" w:space="0" w:color="C63B3D" w:themeColor="accent1"/>
        <w:right w:val="single" w:sz="4" w:space="0" w:color="C63B3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63B3D" w:themeFill="accent1"/>
      </w:tcPr>
    </w:tblStylePr>
    <w:tblStylePr w:type="lastRow">
      <w:rPr>
        <w:b/>
        <w:bCs/>
      </w:rPr>
      <w:tblPr/>
      <w:tcPr>
        <w:tcBorders>
          <w:top w:val="double" w:sz="4" w:space="0" w:color="C63B3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63B3D" w:themeColor="accent1"/>
          <w:right w:val="single" w:sz="4" w:space="0" w:color="C63B3D" w:themeColor="accent1"/>
        </w:tcBorders>
      </w:tcPr>
    </w:tblStylePr>
    <w:tblStylePr w:type="band1Horz">
      <w:tblPr/>
      <w:tcPr>
        <w:tcBorders>
          <w:top w:val="single" w:sz="4" w:space="0" w:color="C63B3D" w:themeColor="accent1"/>
          <w:bottom w:val="single" w:sz="4" w:space="0" w:color="C63B3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63B3D" w:themeColor="accent1"/>
          <w:left w:val="nil"/>
        </w:tcBorders>
      </w:tcPr>
    </w:tblStylePr>
    <w:tblStylePr w:type="swCell">
      <w:tblPr/>
      <w:tcPr>
        <w:tcBorders>
          <w:top w:val="double" w:sz="4" w:space="0" w:color="C63B3D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9A151" w:themeColor="accent2"/>
        <w:left w:val="single" w:sz="4" w:space="0" w:color="F9A151" w:themeColor="accent2"/>
        <w:bottom w:val="single" w:sz="4" w:space="0" w:color="F9A151" w:themeColor="accent2"/>
        <w:right w:val="single" w:sz="4" w:space="0" w:color="F9A1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A151" w:themeFill="accent2"/>
      </w:tcPr>
    </w:tblStylePr>
    <w:tblStylePr w:type="lastRow">
      <w:rPr>
        <w:b/>
        <w:bCs/>
      </w:rPr>
      <w:tblPr/>
      <w:tcPr>
        <w:tcBorders>
          <w:top w:val="double" w:sz="4" w:space="0" w:color="F9A15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A151" w:themeColor="accent2"/>
          <w:right w:val="single" w:sz="4" w:space="0" w:color="F9A151" w:themeColor="accent2"/>
        </w:tcBorders>
      </w:tcPr>
    </w:tblStylePr>
    <w:tblStylePr w:type="band1Horz">
      <w:tblPr/>
      <w:tcPr>
        <w:tcBorders>
          <w:top w:val="single" w:sz="4" w:space="0" w:color="F9A151" w:themeColor="accent2"/>
          <w:bottom w:val="single" w:sz="4" w:space="0" w:color="F9A15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A151" w:themeColor="accent2"/>
          <w:left w:val="nil"/>
        </w:tcBorders>
      </w:tcPr>
    </w:tblStylePr>
    <w:tblStylePr w:type="swCell">
      <w:tblPr/>
      <w:tcPr>
        <w:tcBorders>
          <w:top w:val="double" w:sz="4" w:space="0" w:color="F9A15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813B7E" w:themeColor="accent3"/>
        <w:left w:val="single" w:sz="4" w:space="0" w:color="813B7E" w:themeColor="accent3"/>
        <w:bottom w:val="single" w:sz="4" w:space="0" w:color="813B7E" w:themeColor="accent3"/>
        <w:right w:val="single" w:sz="4" w:space="0" w:color="813B7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13B7E" w:themeFill="accent3"/>
      </w:tcPr>
    </w:tblStylePr>
    <w:tblStylePr w:type="lastRow">
      <w:rPr>
        <w:b/>
        <w:bCs/>
      </w:rPr>
      <w:tblPr/>
      <w:tcPr>
        <w:tcBorders>
          <w:top w:val="double" w:sz="4" w:space="0" w:color="813B7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13B7E" w:themeColor="accent3"/>
          <w:right w:val="single" w:sz="4" w:space="0" w:color="813B7E" w:themeColor="accent3"/>
        </w:tcBorders>
      </w:tcPr>
    </w:tblStylePr>
    <w:tblStylePr w:type="band1Horz">
      <w:tblPr/>
      <w:tcPr>
        <w:tcBorders>
          <w:top w:val="single" w:sz="4" w:space="0" w:color="813B7E" w:themeColor="accent3"/>
          <w:bottom w:val="single" w:sz="4" w:space="0" w:color="813B7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13B7E" w:themeColor="accent3"/>
          <w:left w:val="nil"/>
        </w:tcBorders>
      </w:tcPr>
    </w:tblStylePr>
    <w:tblStylePr w:type="swCell">
      <w:tblPr/>
      <w:tcPr>
        <w:tcBorders>
          <w:top w:val="double" w:sz="4" w:space="0" w:color="813B7E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3374AF" w:themeColor="accent4"/>
        <w:left w:val="single" w:sz="4" w:space="0" w:color="3374AF" w:themeColor="accent4"/>
        <w:bottom w:val="single" w:sz="4" w:space="0" w:color="3374AF" w:themeColor="accent4"/>
        <w:right w:val="single" w:sz="4" w:space="0" w:color="3374A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74AF" w:themeFill="accent4"/>
      </w:tcPr>
    </w:tblStylePr>
    <w:tblStylePr w:type="lastRow">
      <w:rPr>
        <w:b/>
        <w:bCs/>
      </w:rPr>
      <w:tblPr/>
      <w:tcPr>
        <w:tcBorders>
          <w:top w:val="double" w:sz="4" w:space="0" w:color="3374A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74AF" w:themeColor="accent4"/>
          <w:right w:val="single" w:sz="4" w:space="0" w:color="3374AF" w:themeColor="accent4"/>
        </w:tcBorders>
      </w:tcPr>
    </w:tblStylePr>
    <w:tblStylePr w:type="band1Horz">
      <w:tblPr/>
      <w:tcPr>
        <w:tcBorders>
          <w:top w:val="single" w:sz="4" w:space="0" w:color="3374AF" w:themeColor="accent4"/>
          <w:bottom w:val="single" w:sz="4" w:space="0" w:color="3374A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74AF" w:themeColor="accent4"/>
          <w:left w:val="nil"/>
        </w:tcBorders>
      </w:tcPr>
    </w:tblStylePr>
    <w:tblStylePr w:type="swCell">
      <w:tblPr/>
      <w:tcPr>
        <w:tcBorders>
          <w:top w:val="double" w:sz="4" w:space="0" w:color="3374AF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814B47" w:themeColor="accent5"/>
        <w:left w:val="single" w:sz="4" w:space="0" w:color="814B47" w:themeColor="accent5"/>
        <w:bottom w:val="single" w:sz="4" w:space="0" w:color="814B47" w:themeColor="accent5"/>
        <w:right w:val="single" w:sz="4" w:space="0" w:color="814B4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14B47" w:themeFill="accent5"/>
      </w:tcPr>
    </w:tblStylePr>
    <w:tblStylePr w:type="lastRow">
      <w:rPr>
        <w:b/>
        <w:bCs/>
      </w:rPr>
      <w:tblPr/>
      <w:tcPr>
        <w:tcBorders>
          <w:top w:val="double" w:sz="4" w:space="0" w:color="814B4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14B47" w:themeColor="accent5"/>
          <w:right w:val="single" w:sz="4" w:space="0" w:color="814B47" w:themeColor="accent5"/>
        </w:tcBorders>
      </w:tcPr>
    </w:tblStylePr>
    <w:tblStylePr w:type="band1Horz">
      <w:tblPr/>
      <w:tcPr>
        <w:tcBorders>
          <w:top w:val="single" w:sz="4" w:space="0" w:color="814B47" w:themeColor="accent5"/>
          <w:bottom w:val="single" w:sz="4" w:space="0" w:color="814B4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14B47" w:themeColor="accent5"/>
          <w:left w:val="nil"/>
        </w:tcBorders>
      </w:tcPr>
    </w:tblStylePr>
    <w:tblStylePr w:type="swCell">
      <w:tblPr/>
      <w:tcPr>
        <w:tcBorders>
          <w:top w:val="double" w:sz="4" w:space="0" w:color="814B47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419D87" w:themeColor="accent6"/>
        <w:left w:val="single" w:sz="4" w:space="0" w:color="419D87" w:themeColor="accent6"/>
        <w:bottom w:val="single" w:sz="4" w:space="0" w:color="419D87" w:themeColor="accent6"/>
        <w:right w:val="single" w:sz="4" w:space="0" w:color="419D8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9D87" w:themeFill="accent6"/>
      </w:tcPr>
    </w:tblStylePr>
    <w:tblStylePr w:type="lastRow">
      <w:rPr>
        <w:b/>
        <w:bCs/>
      </w:rPr>
      <w:tblPr/>
      <w:tcPr>
        <w:tcBorders>
          <w:top w:val="double" w:sz="4" w:space="0" w:color="419D8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9D87" w:themeColor="accent6"/>
          <w:right w:val="single" w:sz="4" w:space="0" w:color="419D87" w:themeColor="accent6"/>
        </w:tcBorders>
      </w:tcPr>
    </w:tblStylePr>
    <w:tblStylePr w:type="band1Horz">
      <w:tblPr/>
      <w:tcPr>
        <w:tcBorders>
          <w:top w:val="single" w:sz="4" w:space="0" w:color="419D87" w:themeColor="accent6"/>
          <w:bottom w:val="single" w:sz="4" w:space="0" w:color="419D8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9D87" w:themeColor="accent6"/>
          <w:left w:val="nil"/>
        </w:tcBorders>
      </w:tcPr>
    </w:tblStylePr>
    <w:tblStylePr w:type="swCell">
      <w:tblPr/>
      <w:tcPr>
        <w:tcBorders>
          <w:top w:val="double" w:sz="4" w:space="0" w:color="419D8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DC898A" w:themeColor="accent1" w:themeTint="99"/>
        <w:left w:val="single" w:sz="4" w:space="0" w:color="DC898A" w:themeColor="accent1" w:themeTint="99"/>
        <w:bottom w:val="single" w:sz="4" w:space="0" w:color="DC898A" w:themeColor="accent1" w:themeTint="99"/>
        <w:right w:val="single" w:sz="4" w:space="0" w:color="DC898A" w:themeColor="accent1" w:themeTint="99"/>
        <w:insideH w:val="single" w:sz="4" w:space="0" w:color="DC898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3B3D" w:themeColor="accent1"/>
          <w:left w:val="single" w:sz="4" w:space="0" w:color="C63B3D" w:themeColor="accent1"/>
          <w:bottom w:val="single" w:sz="4" w:space="0" w:color="C63B3D" w:themeColor="accent1"/>
          <w:right w:val="single" w:sz="4" w:space="0" w:color="C63B3D" w:themeColor="accent1"/>
          <w:insideH w:val="nil"/>
        </w:tcBorders>
        <w:shd w:val="clear" w:color="auto" w:fill="C63B3D" w:themeFill="accent1"/>
      </w:tcPr>
    </w:tblStylePr>
    <w:tblStylePr w:type="lastRow">
      <w:rPr>
        <w:b/>
        <w:bCs/>
      </w:rPr>
      <w:tblPr/>
      <w:tcPr>
        <w:tcBorders>
          <w:top w:val="double" w:sz="4" w:space="0" w:color="DC898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FBC696" w:themeColor="accent2" w:themeTint="99"/>
        <w:left w:val="single" w:sz="4" w:space="0" w:color="FBC696" w:themeColor="accent2" w:themeTint="99"/>
        <w:bottom w:val="single" w:sz="4" w:space="0" w:color="FBC696" w:themeColor="accent2" w:themeTint="99"/>
        <w:right w:val="single" w:sz="4" w:space="0" w:color="FBC696" w:themeColor="accent2" w:themeTint="99"/>
        <w:insideH w:val="single" w:sz="4" w:space="0" w:color="FBC6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A151" w:themeColor="accent2"/>
          <w:left w:val="single" w:sz="4" w:space="0" w:color="F9A151" w:themeColor="accent2"/>
          <w:bottom w:val="single" w:sz="4" w:space="0" w:color="F9A151" w:themeColor="accent2"/>
          <w:right w:val="single" w:sz="4" w:space="0" w:color="F9A151" w:themeColor="accent2"/>
          <w:insideH w:val="nil"/>
        </w:tcBorders>
        <w:shd w:val="clear" w:color="auto" w:fill="F9A151" w:themeFill="accent2"/>
      </w:tcPr>
    </w:tblStylePr>
    <w:tblStylePr w:type="lastRow">
      <w:rPr>
        <w:b/>
        <w:bCs/>
      </w:rPr>
      <w:tblPr/>
      <w:tcPr>
        <w:tcBorders>
          <w:top w:val="double" w:sz="4" w:space="0" w:color="FBC6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C27ABF" w:themeColor="accent3" w:themeTint="99"/>
        <w:left w:val="single" w:sz="4" w:space="0" w:color="C27ABF" w:themeColor="accent3" w:themeTint="99"/>
        <w:bottom w:val="single" w:sz="4" w:space="0" w:color="C27ABF" w:themeColor="accent3" w:themeTint="99"/>
        <w:right w:val="single" w:sz="4" w:space="0" w:color="C27ABF" w:themeColor="accent3" w:themeTint="99"/>
        <w:insideH w:val="single" w:sz="4" w:space="0" w:color="C27AB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3B7E" w:themeColor="accent3"/>
          <w:left w:val="single" w:sz="4" w:space="0" w:color="813B7E" w:themeColor="accent3"/>
          <w:bottom w:val="single" w:sz="4" w:space="0" w:color="813B7E" w:themeColor="accent3"/>
          <w:right w:val="single" w:sz="4" w:space="0" w:color="813B7E" w:themeColor="accent3"/>
          <w:insideH w:val="nil"/>
        </w:tcBorders>
        <w:shd w:val="clear" w:color="auto" w:fill="813B7E" w:themeFill="accent3"/>
      </w:tcPr>
    </w:tblStylePr>
    <w:tblStylePr w:type="lastRow">
      <w:rPr>
        <w:b/>
        <w:bCs/>
      </w:rPr>
      <w:tblPr/>
      <w:tcPr>
        <w:tcBorders>
          <w:top w:val="double" w:sz="4" w:space="0" w:color="C27A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7AABD8" w:themeColor="accent4" w:themeTint="99"/>
        <w:left w:val="single" w:sz="4" w:space="0" w:color="7AABD8" w:themeColor="accent4" w:themeTint="99"/>
        <w:bottom w:val="single" w:sz="4" w:space="0" w:color="7AABD8" w:themeColor="accent4" w:themeTint="99"/>
        <w:right w:val="single" w:sz="4" w:space="0" w:color="7AABD8" w:themeColor="accent4" w:themeTint="99"/>
        <w:insideH w:val="single" w:sz="4" w:space="0" w:color="7AAB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74AF" w:themeColor="accent4"/>
          <w:left w:val="single" w:sz="4" w:space="0" w:color="3374AF" w:themeColor="accent4"/>
          <w:bottom w:val="single" w:sz="4" w:space="0" w:color="3374AF" w:themeColor="accent4"/>
          <w:right w:val="single" w:sz="4" w:space="0" w:color="3374AF" w:themeColor="accent4"/>
          <w:insideH w:val="nil"/>
        </w:tcBorders>
        <w:shd w:val="clear" w:color="auto" w:fill="3374AF" w:themeFill="accent4"/>
      </w:tcPr>
    </w:tblStylePr>
    <w:tblStylePr w:type="lastRow">
      <w:rPr>
        <w:b/>
        <w:bCs/>
      </w:rPr>
      <w:tblPr/>
      <w:tcPr>
        <w:tcBorders>
          <w:top w:val="double" w:sz="4" w:space="0" w:color="7AAB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BD8A87" w:themeColor="accent5" w:themeTint="99"/>
        <w:left w:val="single" w:sz="4" w:space="0" w:color="BD8A87" w:themeColor="accent5" w:themeTint="99"/>
        <w:bottom w:val="single" w:sz="4" w:space="0" w:color="BD8A87" w:themeColor="accent5" w:themeTint="99"/>
        <w:right w:val="single" w:sz="4" w:space="0" w:color="BD8A87" w:themeColor="accent5" w:themeTint="99"/>
        <w:insideH w:val="single" w:sz="4" w:space="0" w:color="BD8A8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4B47" w:themeColor="accent5"/>
          <w:left w:val="single" w:sz="4" w:space="0" w:color="814B47" w:themeColor="accent5"/>
          <w:bottom w:val="single" w:sz="4" w:space="0" w:color="814B47" w:themeColor="accent5"/>
          <w:right w:val="single" w:sz="4" w:space="0" w:color="814B47" w:themeColor="accent5"/>
          <w:insideH w:val="nil"/>
        </w:tcBorders>
        <w:shd w:val="clear" w:color="auto" w:fill="814B47" w:themeFill="accent5"/>
      </w:tcPr>
    </w:tblStylePr>
    <w:tblStylePr w:type="lastRow">
      <w:rPr>
        <w:b/>
        <w:bCs/>
      </w:rPr>
      <w:tblPr/>
      <w:tcPr>
        <w:tcBorders>
          <w:top w:val="double" w:sz="4" w:space="0" w:color="BD8A8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84CCBB" w:themeColor="accent6" w:themeTint="99"/>
        <w:left w:val="single" w:sz="4" w:space="0" w:color="84CCBB" w:themeColor="accent6" w:themeTint="99"/>
        <w:bottom w:val="single" w:sz="4" w:space="0" w:color="84CCBB" w:themeColor="accent6" w:themeTint="99"/>
        <w:right w:val="single" w:sz="4" w:space="0" w:color="84CCBB" w:themeColor="accent6" w:themeTint="99"/>
        <w:insideH w:val="single" w:sz="4" w:space="0" w:color="84CC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9D87" w:themeColor="accent6"/>
          <w:left w:val="single" w:sz="4" w:space="0" w:color="419D87" w:themeColor="accent6"/>
          <w:bottom w:val="single" w:sz="4" w:space="0" w:color="419D87" w:themeColor="accent6"/>
          <w:right w:val="single" w:sz="4" w:space="0" w:color="419D87" w:themeColor="accent6"/>
          <w:insideH w:val="nil"/>
        </w:tcBorders>
        <w:shd w:val="clear" w:color="auto" w:fill="419D87" w:themeFill="accent6"/>
      </w:tcPr>
    </w:tblStylePr>
    <w:tblStylePr w:type="lastRow">
      <w:rPr>
        <w:b/>
        <w:bCs/>
      </w:rPr>
      <w:tblPr/>
      <w:tcPr>
        <w:tcBorders>
          <w:top w:val="double" w:sz="4" w:space="0" w:color="84CC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63B3D" w:themeColor="accent1"/>
        <w:left w:val="single" w:sz="24" w:space="0" w:color="C63B3D" w:themeColor="accent1"/>
        <w:bottom w:val="single" w:sz="24" w:space="0" w:color="C63B3D" w:themeColor="accent1"/>
        <w:right w:val="single" w:sz="24" w:space="0" w:color="C63B3D" w:themeColor="accent1"/>
      </w:tblBorders>
    </w:tblPr>
    <w:tcPr>
      <w:shd w:val="clear" w:color="auto" w:fill="C63B3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A151" w:themeColor="accent2"/>
        <w:left w:val="single" w:sz="24" w:space="0" w:color="F9A151" w:themeColor="accent2"/>
        <w:bottom w:val="single" w:sz="24" w:space="0" w:color="F9A151" w:themeColor="accent2"/>
        <w:right w:val="single" w:sz="24" w:space="0" w:color="F9A151" w:themeColor="accent2"/>
      </w:tblBorders>
    </w:tblPr>
    <w:tcPr>
      <w:shd w:val="clear" w:color="auto" w:fill="F9A15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13B7E" w:themeColor="accent3"/>
        <w:left w:val="single" w:sz="24" w:space="0" w:color="813B7E" w:themeColor="accent3"/>
        <w:bottom w:val="single" w:sz="24" w:space="0" w:color="813B7E" w:themeColor="accent3"/>
        <w:right w:val="single" w:sz="24" w:space="0" w:color="813B7E" w:themeColor="accent3"/>
      </w:tblBorders>
    </w:tblPr>
    <w:tcPr>
      <w:shd w:val="clear" w:color="auto" w:fill="813B7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74AF" w:themeColor="accent4"/>
        <w:left w:val="single" w:sz="24" w:space="0" w:color="3374AF" w:themeColor="accent4"/>
        <w:bottom w:val="single" w:sz="24" w:space="0" w:color="3374AF" w:themeColor="accent4"/>
        <w:right w:val="single" w:sz="24" w:space="0" w:color="3374AF" w:themeColor="accent4"/>
      </w:tblBorders>
    </w:tblPr>
    <w:tcPr>
      <w:shd w:val="clear" w:color="auto" w:fill="3374A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14B47" w:themeColor="accent5"/>
        <w:left w:val="single" w:sz="24" w:space="0" w:color="814B47" w:themeColor="accent5"/>
        <w:bottom w:val="single" w:sz="24" w:space="0" w:color="814B47" w:themeColor="accent5"/>
        <w:right w:val="single" w:sz="24" w:space="0" w:color="814B47" w:themeColor="accent5"/>
      </w:tblBorders>
    </w:tblPr>
    <w:tcPr>
      <w:shd w:val="clear" w:color="auto" w:fill="814B4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183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9D87" w:themeColor="accent6"/>
        <w:left w:val="single" w:sz="24" w:space="0" w:color="419D87" w:themeColor="accent6"/>
        <w:bottom w:val="single" w:sz="24" w:space="0" w:color="419D87" w:themeColor="accent6"/>
        <w:right w:val="single" w:sz="24" w:space="0" w:color="419D87" w:themeColor="accent6"/>
      </w:tblBorders>
    </w:tblPr>
    <w:tcPr>
      <w:shd w:val="clear" w:color="auto" w:fill="419D8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183512"/>
    <w:pPr>
      <w:spacing w:after="0" w:line="240" w:lineRule="auto"/>
    </w:pPr>
    <w:rPr>
      <w:color w:val="942B2C" w:themeColor="accent1" w:themeShade="BF"/>
    </w:rPr>
    <w:tblPr>
      <w:tblStyleRowBandSize w:val="1"/>
      <w:tblStyleColBandSize w:val="1"/>
      <w:tblBorders>
        <w:top w:val="single" w:sz="4" w:space="0" w:color="C63B3D" w:themeColor="accent1"/>
        <w:bottom w:val="single" w:sz="4" w:space="0" w:color="C63B3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63B3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63B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183512"/>
    <w:pPr>
      <w:spacing w:after="0" w:line="240" w:lineRule="auto"/>
    </w:pPr>
    <w:rPr>
      <w:color w:val="EE7508" w:themeColor="accent2" w:themeShade="BF"/>
    </w:rPr>
    <w:tblPr>
      <w:tblStyleRowBandSize w:val="1"/>
      <w:tblStyleColBandSize w:val="1"/>
      <w:tblBorders>
        <w:top w:val="single" w:sz="4" w:space="0" w:color="F9A151" w:themeColor="accent2"/>
        <w:bottom w:val="single" w:sz="4" w:space="0" w:color="F9A15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9A15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9A15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183512"/>
    <w:pPr>
      <w:spacing w:after="0" w:line="240" w:lineRule="auto"/>
    </w:pPr>
    <w:rPr>
      <w:color w:val="602C5E" w:themeColor="accent3" w:themeShade="BF"/>
    </w:rPr>
    <w:tblPr>
      <w:tblStyleRowBandSize w:val="1"/>
      <w:tblStyleColBandSize w:val="1"/>
      <w:tblBorders>
        <w:top w:val="single" w:sz="4" w:space="0" w:color="813B7E" w:themeColor="accent3"/>
        <w:bottom w:val="single" w:sz="4" w:space="0" w:color="813B7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13B7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13B7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183512"/>
    <w:pPr>
      <w:spacing w:after="0" w:line="240" w:lineRule="auto"/>
    </w:pPr>
    <w:rPr>
      <w:color w:val="265682" w:themeColor="accent4" w:themeShade="BF"/>
    </w:rPr>
    <w:tblPr>
      <w:tblStyleRowBandSize w:val="1"/>
      <w:tblStyleColBandSize w:val="1"/>
      <w:tblBorders>
        <w:top w:val="single" w:sz="4" w:space="0" w:color="3374AF" w:themeColor="accent4"/>
        <w:bottom w:val="single" w:sz="4" w:space="0" w:color="3374A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3374A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374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183512"/>
    <w:pPr>
      <w:spacing w:after="0" w:line="240" w:lineRule="auto"/>
    </w:pPr>
    <w:rPr>
      <w:color w:val="603835" w:themeColor="accent5" w:themeShade="BF"/>
    </w:rPr>
    <w:tblPr>
      <w:tblStyleRowBandSize w:val="1"/>
      <w:tblStyleColBandSize w:val="1"/>
      <w:tblBorders>
        <w:top w:val="single" w:sz="4" w:space="0" w:color="814B47" w:themeColor="accent5"/>
        <w:bottom w:val="single" w:sz="4" w:space="0" w:color="814B4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14B4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14B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183512"/>
    <w:pPr>
      <w:spacing w:after="0" w:line="240" w:lineRule="auto"/>
    </w:pPr>
    <w:rPr>
      <w:color w:val="307564" w:themeColor="accent6" w:themeShade="BF"/>
    </w:rPr>
    <w:tblPr>
      <w:tblStyleRowBandSize w:val="1"/>
      <w:tblStyleColBandSize w:val="1"/>
      <w:tblBorders>
        <w:top w:val="single" w:sz="4" w:space="0" w:color="419D87" w:themeColor="accent6"/>
        <w:bottom w:val="single" w:sz="4" w:space="0" w:color="419D8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19D8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19D8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183512"/>
    <w:pPr>
      <w:spacing w:after="0" w:line="240" w:lineRule="auto"/>
    </w:pPr>
    <w:rPr>
      <w:color w:val="942B2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63B3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63B3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63B3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63B3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D7D7" w:themeFill="accent1" w:themeFillTint="33"/>
      </w:tcPr>
    </w:tblStylePr>
    <w:tblStylePr w:type="band1Horz">
      <w:tblPr/>
      <w:tcPr>
        <w:shd w:val="clear" w:color="auto" w:fill="F3D7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183512"/>
    <w:pPr>
      <w:spacing w:after="0" w:line="240" w:lineRule="auto"/>
    </w:pPr>
    <w:rPr>
      <w:color w:val="EE750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A15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A15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A15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A15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C" w:themeFill="accent2" w:themeFillTint="33"/>
      </w:tcPr>
    </w:tblStylePr>
    <w:tblStylePr w:type="band1Horz">
      <w:tblPr/>
      <w:tcPr>
        <w:shd w:val="clear" w:color="auto" w:fill="FDECD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183512"/>
    <w:pPr>
      <w:spacing w:after="0" w:line="240" w:lineRule="auto"/>
    </w:pPr>
    <w:rPr>
      <w:color w:val="602C5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13B7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13B7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13B7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13B7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2E9" w:themeFill="accent3" w:themeFillTint="33"/>
      </w:tcPr>
    </w:tblStylePr>
    <w:tblStylePr w:type="band1Horz">
      <w:tblPr/>
      <w:tcPr>
        <w:shd w:val="clear" w:color="auto" w:fill="EAD2E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183512"/>
    <w:pPr>
      <w:spacing w:after="0" w:line="240" w:lineRule="auto"/>
    </w:pPr>
    <w:rPr>
      <w:color w:val="26568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74A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74A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74A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74A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2E3F2" w:themeFill="accent4" w:themeFillTint="33"/>
      </w:tcPr>
    </w:tblStylePr>
    <w:tblStylePr w:type="band1Horz">
      <w:tblPr/>
      <w:tcPr>
        <w:shd w:val="clear" w:color="auto" w:fill="D2E3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183512"/>
    <w:pPr>
      <w:spacing w:after="0" w:line="240" w:lineRule="auto"/>
    </w:pPr>
    <w:rPr>
      <w:color w:val="60383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14B4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14B4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14B4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14B4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D8D7" w:themeFill="accent5" w:themeFillTint="33"/>
      </w:tcPr>
    </w:tblStylePr>
    <w:tblStylePr w:type="band1Horz">
      <w:tblPr/>
      <w:tcPr>
        <w:shd w:val="clear" w:color="auto" w:fill="E9D8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183512"/>
    <w:pPr>
      <w:spacing w:after="0" w:line="240" w:lineRule="auto"/>
    </w:pPr>
    <w:rPr>
      <w:color w:val="30756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9D8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9D8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9D8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9D8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EE8" w:themeFill="accent6" w:themeFillTint="33"/>
      </w:tcPr>
    </w:tblStylePr>
    <w:tblStylePr w:type="band1Horz">
      <w:tblPr/>
      <w:tcPr>
        <w:shd w:val="clear" w:color="auto" w:fill="D6EE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1835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183512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D46C6D" w:themeColor="accent1" w:themeTint="BF"/>
        <w:left w:val="single" w:sz="8" w:space="0" w:color="D46C6D" w:themeColor="accent1" w:themeTint="BF"/>
        <w:bottom w:val="single" w:sz="8" w:space="0" w:color="D46C6D" w:themeColor="accent1" w:themeTint="BF"/>
        <w:right w:val="single" w:sz="8" w:space="0" w:color="D46C6D" w:themeColor="accent1" w:themeTint="BF"/>
        <w:insideH w:val="single" w:sz="8" w:space="0" w:color="D46C6D" w:themeColor="accent1" w:themeTint="BF"/>
        <w:insideV w:val="single" w:sz="8" w:space="0" w:color="D46C6D" w:themeColor="accent1" w:themeTint="BF"/>
      </w:tblBorders>
    </w:tblPr>
    <w:tcPr>
      <w:shd w:val="clear" w:color="auto" w:fill="F1CE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6C6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9D9D" w:themeFill="accent1" w:themeFillTint="7F"/>
      </w:tcPr>
    </w:tblStylePr>
    <w:tblStylePr w:type="band1Horz">
      <w:tblPr/>
      <w:tcPr>
        <w:shd w:val="clear" w:color="auto" w:fill="E29D9D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AB87C" w:themeColor="accent2" w:themeTint="BF"/>
        <w:left w:val="single" w:sz="8" w:space="0" w:color="FAB87C" w:themeColor="accent2" w:themeTint="BF"/>
        <w:bottom w:val="single" w:sz="8" w:space="0" w:color="FAB87C" w:themeColor="accent2" w:themeTint="BF"/>
        <w:right w:val="single" w:sz="8" w:space="0" w:color="FAB87C" w:themeColor="accent2" w:themeTint="BF"/>
        <w:insideH w:val="single" w:sz="8" w:space="0" w:color="FAB87C" w:themeColor="accent2" w:themeTint="BF"/>
        <w:insideV w:val="single" w:sz="8" w:space="0" w:color="FAB87C" w:themeColor="accent2" w:themeTint="BF"/>
      </w:tblBorders>
    </w:tblPr>
    <w:tcPr>
      <w:shd w:val="clear" w:color="auto" w:fill="FDE7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87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0A8" w:themeFill="accent2" w:themeFillTint="7F"/>
      </w:tcPr>
    </w:tblStylePr>
    <w:tblStylePr w:type="band1Horz">
      <w:tblPr/>
      <w:tcPr>
        <w:shd w:val="clear" w:color="auto" w:fill="FCD0A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B359AF" w:themeColor="accent3" w:themeTint="BF"/>
        <w:left w:val="single" w:sz="8" w:space="0" w:color="B359AF" w:themeColor="accent3" w:themeTint="BF"/>
        <w:bottom w:val="single" w:sz="8" w:space="0" w:color="B359AF" w:themeColor="accent3" w:themeTint="BF"/>
        <w:right w:val="single" w:sz="8" w:space="0" w:color="B359AF" w:themeColor="accent3" w:themeTint="BF"/>
        <w:insideH w:val="single" w:sz="8" w:space="0" w:color="B359AF" w:themeColor="accent3" w:themeTint="BF"/>
        <w:insideV w:val="single" w:sz="8" w:space="0" w:color="B359AF" w:themeColor="accent3" w:themeTint="BF"/>
      </w:tblBorders>
    </w:tblPr>
    <w:tcPr>
      <w:shd w:val="clear" w:color="auto" w:fill="E6C8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59A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90CA" w:themeFill="accent3" w:themeFillTint="7F"/>
      </w:tcPr>
    </w:tblStylePr>
    <w:tblStylePr w:type="band1Horz">
      <w:tblPr/>
      <w:tcPr>
        <w:shd w:val="clear" w:color="auto" w:fill="CC90CA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5A97CF" w:themeColor="accent4" w:themeTint="BF"/>
        <w:left w:val="single" w:sz="8" w:space="0" w:color="5A97CF" w:themeColor="accent4" w:themeTint="BF"/>
        <w:bottom w:val="single" w:sz="8" w:space="0" w:color="5A97CF" w:themeColor="accent4" w:themeTint="BF"/>
        <w:right w:val="single" w:sz="8" w:space="0" w:color="5A97CF" w:themeColor="accent4" w:themeTint="BF"/>
        <w:insideH w:val="single" w:sz="8" w:space="0" w:color="5A97CF" w:themeColor="accent4" w:themeTint="BF"/>
        <w:insideV w:val="single" w:sz="8" w:space="0" w:color="5A97CF" w:themeColor="accent4" w:themeTint="BF"/>
      </w:tblBorders>
    </w:tblPr>
    <w:tcPr>
      <w:shd w:val="clear" w:color="auto" w:fill="C8DC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97C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B9DF" w:themeFill="accent4" w:themeFillTint="7F"/>
      </w:tcPr>
    </w:tblStylePr>
    <w:tblStylePr w:type="band1Horz">
      <w:tblPr/>
      <w:tcPr>
        <w:shd w:val="clear" w:color="auto" w:fill="91B9DF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AC6D69" w:themeColor="accent5" w:themeTint="BF"/>
        <w:left w:val="single" w:sz="8" w:space="0" w:color="AC6D69" w:themeColor="accent5" w:themeTint="BF"/>
        <w:bottom w:val="single" w:sz="8" w:space="0" w:color="AC6D69" w:themeColor="accent5" w:themeTint="BF"/>
        <w:right w:val="single" w:sz="8" w:space="0" w:color="AC6D69" w:themeColor="accent5" w:themeTint="BF"/>
        <w:insideH w:val="single" w:sz="8" w:space="0" w:color="AC6D69" w:themeColor="accent5" w:themeTint="BF"/>
        <w:insideV w:val="single" w:sz="8" w:space="0" w:color="AC6D69" w:themeColor="accent5" w:themeTint="BF"/>
      </w:tblBorders>
    </w:tblPr>
    <w:tcPr>
      <w:shd w:val="clear" w:color="auto" w:fill="E3CEC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6D6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9E9B" w:themeFill="accent5" w:themeFillTint="7F"/>
      </w:tcPr>
    </w:tblStylePr>
    <w:tblStylePr w:type="band1Horz">
      <w:tblPr/>
      <w:tcPr>
        <w:shd w:val="clear" w:color="auto" w:fill="C89E9B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66BFAA" w:themeColor="accent6" w:themeTint="BF"/>
        <w:left w:val="single" w:sz="8" w:space="0" w:color="66BFAA" w:themeColor="accent6" w:themeTint="BF"/>
        <w:bottom w:val="single" w:sz="8" w:space="0" w:color="66BFAA" w:themeColor="accent6" w:themeTint="BF"/>
        <w:right w:val="single" w:sz="8" w:space="0" w:color="66BFAA" w:themeColor="accent6" w:themeTint="BF"/>
        <w:insideH w:val="single" w:sz="8" w:space="0" w:color="66BFAA" w:themeColor="accent6" w:themeTint="BF"/>
        <w:insideV w:val="single" w:sz="8" w:space="0" w:color="66BFAA" w:themeColor="accent6" w:themeTint="BF"/>
      </w:tblBorders>
    </w:tblPr>
    <w:tcPr>
      <w:shd w:val="clear" w:color="auto" w:fill="CCEA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BFA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D5C6" w:themeFill="accent6" w:themeFillTint="7F"/>
      </w:tcPr>
    </w:tblStylePr>
    <w:tblStylePr w:type="band1Horz">
      <w:tblPr/>
      <w:tcPr>
        <w:shd w:val="clear" w:color="auto" w:fill="99D5C6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63B3D" w:themeColor="accent1"/>
        <w:left w:val="single" w:sz="8" w:space="0" w:color="C63B3D" w:themeColor="accent1"/>
        <w:bottom w:val="single" w:sz="8" w:space="0" w:color="C63B3D" w:themeColor="accent1"/>
        <w:right w:val="single" w:sz="8" w:space="0" w:color="C63B3D" w:themeColor="accent1"/>
        <w:insideH w:val="single" w:sz="8" w:space="0" w:color="C63B3D" w:themeColor="accent1"/>
        <w:insideV w:val="single" w:sz="8" w:space="0" w:color="C63B3D" w:themeColor="accent1"/>
      </w:tblBorders>
    </w:tblPr>
    <w:tcPr>
      <w:shd w:val="clear" w:color="auto" w:fill="F1CE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EB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7D7" w:themeFill="accent1" w:themeFillTint="33"/>
      </w:tcPr>
    </w:tblStylePr>
    <w:tblStylePr w:type="band1Vert">
      <w:tblPr/>
      <w:tcPr>
        <w:shd w:val="clear" w:color="auto" w:fill="E29D9D" w:themeFill="accent1" w:themeFillTint="7F"/>
      </w:tcPr>
    </w:tblStylePr>
    <w:tblStylePr w:type="band1Horz">
      <w:tblPr/>
      <w:tcPr>
        <w:tcBorders>
          <w:insideH w:val="single" w:sz="6" w:space="0" w:color="C63B3D" w:themeColor="accent1"/>
          <w:insideV w:val="single" w:sz="6" w:space="0" w:color="C63B3D" w:themeColor="accent1"/>
        </w:tcBorders>
        <w:shd w:val="clear" w:color="auto" w:fill="E29D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51" w:themeColor="accent2"/>
        <w:left w:val="single" w:sz="8" w:space="0" w:color="F9A151" w:themeColor="accent2"/>
        <w:bottom w:val="single" w:sz="8" w:space="0" w:color="F9A151" w:themeColor="accent2"/>
        <w:right w:val="single" w:sz="8" w:space="0" w:color="F9A151" w:themeColor="accent2"/>
        <w:insideH w:val="single" w:sz="8" w:space="0" w:color="F9A151" w:themeColor="accent2"/>
        <w:insideV w:val="single" w:sz="8" w:space="0" w:color="F9A151" w:themeColor="accent2"/>
      </w:tblBorders>
    </w:tblPr>
    <w:tcPr>
      <w:shd w:val="clear" w:color="auto" w:fill="FDE7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C" w:themeFill="accent2" w:themeFillTint="33"/>
      </w:tcPr>
    </w:tblStylePr>
    <w:tblStylePr w:type="band1Vert">
      <w:tblPr/>
      <w:tcPr>
        <w:shd w:val="clear" w:color="auto" w:fill="FCD0A8" w:themeFill="accent2" w:themeFillTint="7F"/>
      </w:tcPr>
    </w:tblStylePr>
    <w:tblStylePr w:type="band1Horz">
      <w:tblPr/>
      <w:tcPr>
        <w:tcBorders>
          <w:insideH w:val="single" w:sz="6" w:space="0" w:color="F9A151" w:themeColor="accent2"/>
          <w:insideV w:val="single" w:sz="6" w:space="0" w:color="F9A151" w:themeColor="accent2"/>
        </w:tcBorders>
        <w:shd w:val="clear" w:color="auto" w:fill="FCD0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3B7E" w:themeColor="accent3"/>
        <w:left w:val="single" w:sz="8" w:space="0" w:color="813B7E" w:themeColor="accent3"/>
        <w:bottom w:val="single" w:sz="8" w:space="0" w:color="813B7E" w:themeColor="accent3"/>
        <w:right w:val="single" w:sz="8" w:space="0" w:color="813B7E" w:themeColor="accent3"/>
        <w:insideH w:val="single" w:sz="8" w:space="0" w:color="813B7E" w:themeColor="accent3"/>
        <w:insideV w:val="single" w:sz="8" w:space="0" w:color="813B7E" w:themeColor="accent3"/>
      </w:tblBorders>
    </w:tblPr>
    <w:tcPr>
      <w:shd w:val="clear" w:color="auto" w:fill="E6C8E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9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2E9" w:themeFill="accent3" w:themeFillTint="33"/>
      </w:tcPr>
    </w:tblStylePr>
    <w:tblStylePr w:type="band1Vert">
      <w:tblPr/>
      <w:tcPr>
        <w:shd w:val="clear" w:color="auto" w:fill="CC90CA" w:themeFill="accent3" w:themeFillTint="7F"/>
      </w:tcPr>
    </w:tblStylePr>
    <w:tblStylePr w:type="band1Horz">
      <w:tblPr/>
      <w:tcPr>
        <w:tcBorders>
          <w:insideH w:val="single" w:sz="6" w:space="0" w:color="813B7E" w:themeColor="accent3"/>
          <w:insideV w:val="single" w:sz="6" w:space="0" w:color="813B7E" w:themeColor="accent3"/>
        </w:tcBorders>
        <w:shd w:val="clear" w:color="auto" w:fill="CC90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74AF" w:themeColor="accent4"/>
        <w:left w:val="single" w:sz="8" w:space="0" w:color="3374AF" w:themeColor="accent4"/>
        <w:bottom w:val="single" w:sz="8" w:space="0" w:color="3374AF" w:themeColor="accent4"/>
        <w:right w:val="single" w:sz="8" w:space="0" w:color="3374AF" w:themeColor="accent4"/>
        <w:insideH w:val="single" w:sz="8" w:space="0" w:color="3374AF" w:themeColor="accent4"/>
        <w:insideV w:val="single" w:sz="8" w:space="0" w:color="3374AF" w:themeColor="accent4"/>
      </w:tblBorders>
    </w:tblPr>
    <w:tcPr>
      <w:shd w:val="clear" w:color="auto" w:fill="C8DC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3F2" w:themeFill="accent4" w:themeFillTint="33"/>
      </w:tcPr>
    </w:tblStylePr>
    <w:tblStylePr w:type="band1Vert">
      <w:tblPr/>
      <w:tcPr>
        <w:shd w:val="clear" w:color="auto" w:fill="91B9DF" w:themeFill="accent4" w:themeFillTint="7F"/>
      </w:tcPr>
    </w:tblStylePr>
    <w:tblStylePr w:type="band1Horz">
      <w:tblPr/>
      <w:tcPr>
        <w:tcBorders>
          <w:insideH w:val="single" w:sz="6" w:space="0" w:color="3374AF" w:themeColor="accent4"/>
          <w:insideV w:val="single" w:sz="6" w:space="0" w:color="3374AF" w:themeColor="accent4"/>
        </w:tcBorders>
        <w:shd w:val="clear" w:color="auto" w:fill="91B9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4B47" w:themeColor="accent5"/>
        <w:left w:val="single" w:sz="8" w:space="0" w:color="814B47" w:themeColor="accent5"/>
        <w:bottom w:val="single" w:sz="8" w:space="0" w:color="814B47" w:themeColor="accent5"/>
        <w:right w:val="single" w:sz="8" w:space="0" w:color="814B47" w:themeColor="accent5"/>
        <w:insideH w:val="single" w:sz="8" w:space="0" w:color="814B47" w:themeColor="accent5"/>
        <w:insideV w:val="single" w:sz="8" w:space="0" w:color="814B47" w:themeColor="accent5"/>
      </w:tblBorders>
    </w:tblPr>
    <w:tcPr>
      <w:shd w:val="clear" w:color="auto" w:fill="E3CEC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7" w:themeFill="accent5" w:themeFillTint="33"/>
      </w:tcPr>
    </w:tblStylePr>
    <w:tblStylePr w:type="band1Vert">
      <w:tblPr/>
      <w:tcPr>
        <w:shd w:val="clear" w:color="auto" w:fill="C89E9B" w:themeFill="accent5" w:themeFillTint="7F"/>
      </w:tcPr>
    </w:tblStylePr>
    <w:tblStylePr w:type="band1Horz">
      <w:tblPr/>
      <w:tcPr>
        <w:tcBorders>
          <w:insideH w:val="single" w:sz="6" w:space="0" w:color="814B47" w:themeColor="accent5"/>
          <w:insideV w:val="single" w:sz="6" w:space="0" w:color="814B47" w:themeColor="accent5"/>
        </w:tcBorders>
        <w:shd w:val="clear" w:color="auto" w:fill="C89E9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9D87" w:themeColor="accent6"/>
        <w:left w:val="single" w:sz="8" w:space="0" w:color="419D87" w:themeColor="accent6"/>
        <w:bottom w:val="single" w:sz="8" w:space="0" w:color="419D87" w:themeColor="accent6"/>
        <w:right w:val="single" w:sz="8" w:space="0" w:color="419D87" w:themeColor="accent6"/>
        <w:insideH w:val="single" w:sz="8" w:space="0" w:color="419D87" w:themeColor="accent6"/>
        <w:insideV w:val="single" w:sz="8" w:space="0" w:color="419D87" w:themeColor="accent6"/>
      </w:tblBorders>
    </w:tblPr>
    <w:tcPr>
      <w:shd w:val="clear" w:color="auto" w:fill="CCEAE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AF6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EE8" w:themeFill="accent6" w:themeFillTint="33"/>
      </w:tcPr>
    </w:tblStylePr>
    <w:tblStylePr w:type="band1Vert">
      <w:tblPr/>
      <w:tcPr>
        <w:shd w:val="clear" w:color="auto" w:fill="99D5C6" w:themeFill="accent6" w:themeFillTint="7F"/>
      </w:tcPr>
    </w:tblStylePr>
    <w:tblStylePr w:type="band1Horz">
      <w:tblPr/>
      <w:tcPr>
        <w:tcBorders>
          <w:insideH w:val="single" w:sz="6" w:space="0" w:color="419D87" w:themeColor="accent6"/>
          <w:insideV w:val="single" w:sz="6" w:space="0" w:color="419D87" w:themeColor="accent6"/>
        </w:tcBorders>
        <w:shd w:val="clear" w:color="auto" w:fill="99D5C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E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3B3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3B3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63B3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63B3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9D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9D9D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5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5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15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15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0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0A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C8E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3B7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3B7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3B7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3B7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90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90CA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DC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74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74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74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74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B9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B9DF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C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4B4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4B4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4B4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4B4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9E9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9E9B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A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9D8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9D8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9D8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9D8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D5C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D5C6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63B3D" w:themeColor="accent1"/>
        <w:bottom w:val="single" w:sz="8" w:space="0" w:color="C63B3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63B3D" w:themeColor="accent1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C63B3D" w:themeColor="accent1"/>
          <w:bottom w:val="single" w:sz="8" w:space="0" w:color="C63B3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63B3D" w:themeColor="accent1"/>
          <w:bottom w:val="single" w:sz="8" w:space="0" w:color="C63B3D" w:themeColor="accent1"/>
        </w:tcBorders>
      </w:tcPr>
    </w:tblStylePr>
    <w:tblStylePr w:type="band1Vert">
      <w:tblPr/>
      <w:tcPr>
        <w:shd w:val="clear" w:color="auto" w:fill="F1CECE" w:themeFill="accent1" w:themeFillTint="3F"/>
      </w:tcPr>
    </w:tblStylePr>
    <w:tblStylePr w:type="band1Horz">
      <w:tblPr/>
      <w:tcPr>
        <w:shd w:val="clear" w:color="auto" w:fill="F1CEC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A151" w:themeColor="accent2"/>
        <w:bottom w:val="single" w:sz="8" w:space="0" w:color="F9A15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151" w:themeColor="accent2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F9A151" w:themeColor="accent2"/>
          <w:bottom w:val="single" w:sz="8" w:space="0" w:color="F9A15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151" w:themeColor="accent2"/>
          <w:bottom w:val="single" w:sz="8" w:space="0" w:color="F9A151" w:themeColor="accent2"/>
        </w:tcBorders>
      </w:tcPr>
    </w:tblStylePr>
    <w:tblStylePr w:type="band1Vert">
      <w:tblPr/>
      <w:tcPr>
        <w:shd w:val="clear" w:color="auto" w:fill="FDE7D3" w:themeFill="accent2" w:themeFillTint="3F"/>
      </w:tcPr>
    </w:tblStylePr>
    <w:tblStylePr w:type="band1Horz">
      <w:tblPr/>
      <w:tcPr>
        <w:shd w:val="clear" w:color="auto" w:fill="FDE7D3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13B7E" w:themeColor="accent3"/>
        <w:bottom w:val="single" w:sz="8" w:space="0" w:color="813B7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13B7E" w:themeColor="accent3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813B7E" w:themeColor="accent3"/>
          <w:bottom w:val="single" w:sz="8" w:space="0" w:color="813B7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13B7E" w:themeColor="accent3"/>
          <w:bottom w:val="single" w:sz="8" w:space="0" w:color="813B7E" w:themeColor="accent3"/>
        </w:tcBorders>
      </w:tcPr>
    </w:tblStylePr>
    <w:tblStylePr w:type="band1Vert">
      <w:tblPr/>
      <w:tcPr>
        <w:shd w:val="clear" w:color="auto" w:fill="E6C8E4" w:themeFill="accent3" w:themeFillTint="3F"/>
      </w:tcPr>
    </w:tblStylePr>
    <w:tblStylePr w:type="band1Horz">
      <w:tblPr/>
      <w:tcPr>
        <w:shd w:val="clear" w:color="auto" w:fill="E6C8E4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74AF" w:themeColor="accent4"/>
        <w:bottom w:val="single" w:sz="8" w:space="0" w:color="3374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74AF" w:themeColor="accent4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3374AF" w:themeColor="accent4"/>
          <w:bottom w:val="single" w:sz="8" w:space="0" w:color="3374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74AF" w:themeColor="accent4"/>
          <w:bottom w:val="single" w:sz="8" w:space="0" w:color="3374AF" w:themeColor="accent4"/>
        </w:tcBorders>
      </w:tcPr>
    </w:tblStylePr>
    <w:tblStylePr w:type="band1Vert">
      <w:tblPr/>
      <w:tcPr>
        <w:shd w:val="clear" w:color="auto" w:fill="C8DCEF" w:themeFill="accent4" w:themeFillTint="3F"/>
      </w:tcPr>
    </w:tblStylePr>
    <w:tblStylePr w:type="band1Horz">
      <w:tblPr/>
      <w:tcPr>
        <w:shd w:val="clear" w:color="auto" w:fill="C8DCEF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14B47" w:themeColor="accent5"/>
        <w:bottom w:val="single" w:sz="8" w:space="0" w:color="814B4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14B47" w:themeColor="accent5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814B47" w:themeColor="accent5"/>
          <w:bottom w:val="single" w:sz="8" w:space="0" w:color="814B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14B47" w:themeColor="accent5"/>
          <w:bottom w:val="single" w:sz="8" w:space="0" w:color="814B47" w:themeColor="accent5"/>
        </w:tcBorders>
      </w:tcPr>
    </w:tblStylePr>
    <w:tblStylePr w:type="band1Vert">
      <w:tblPr/>
      <w:tcPr>
        <w:shd w:val="clear" w:color="auto" w:fill="E3CECD" w:themeFill="accent5" w:themeFillTint="3F"/>
      </w:tcPr>
    </w:tblStylePr>
    <w:tblStylePr w:type="band1Horz">
      <w:tblPr/>
      <w:tcPr>
        <w:shd w:val="clear" w:color="auto" w:fill="E3CECD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183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19D87" w:themeColor="accent6"/>
        <w:bottom w:val="single" w:sz="8" w:space="0" w:color="419D8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9D87" w:themeColor="accent6"/>
        </w:tcBorders>
      </w:tcPr>
    </w:tblStylePr>
    <w:tblStylePr w:type="lastRow">
      <w:rPr>
        <w:b/>
        <w:bCs/>
        <w:color w:val="262626" w:themeColor="text2"/>
      </w:rPr>
      <w:tblPr/>
      <w:tcPr>
        <w:tcBorders>
          <w:top w:val="single" w:sz="8" w:space="0" w:color="419D87" w:themeColor="accent6"/>
          <w:bottom w:val="single" w:sz="8" w:space="0" w:color="419D8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9D87" w:themeColor="accent6"/>
          <w:bottom w:val="single" w:sz="8" w:space="0" w:color="419D87" w:themeColor="accent6"/>
        </w:tcBorders>
      </w:tcPr>
    </w:tblStylePr>
    <w:tblStylePr w:type="band1Vert">
      <w:tblPr/>
      <w:tcPr>
        <w:shd w:val="clear" w:color="auto" w:fill="CCEAE3" w:themeFill="accent6" w:themeFillTint="3F"/>
      </w:tcPr>
    </w:tblStylePr>
    <w:tblStylePr w:type="band1Horz">
      <w:tblPr/>
      <w:tcPr>
        <w:shd w:val="clear" w:color="auto" w:fill="CCEAE3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63B3D" w:themeColor="accent1"/>
        <w:left w:val="single" w:sz="8" w:space="0" w:color="C63B3D" w:themeColor="accent1"/>
        <w:bottom w:val="single" w:sz="8" w:space="0" w:color="C63B3D" w:themeColor="accent1"/>
        <w:right w:val="single" w:sz="8" w:space="0" w:color="C63B3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63B3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63B3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63B3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E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E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51" w:themeColor="accent2"/>
        <w:left w:val="single" w:sz="8" w:space="0" w:color="F9A151" w:themeColor="accent2"/>
        <w:bottom w:val="single" w:sz="8" w:space="0" w:color="F9A151" w:themeColor="accent2"/>
        <w:right w:val="single" w:sz="8" w:space="0" w:color="F9A1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1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1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1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3B7E" w:themeColor="accent3"/>
        <w:left w:val="single" w:sz="8" w:space="0" w:color="813B7E" w:themeColor="accent3"/>
        <w:bottom w:val="single" w:sz="8" w:space="0" w:color="813B7E" w:themeColor="accent3"/>
        <w:right w:val="single" w:sz="8" w:space="0" w:color="813B7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3B7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3B7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3B7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C8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C8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74AF" w:themeColor="accent4"/>
        <w:left w:val="single" w:sz="8" w:space="0" w:color="3374AF" w:themeColor="accent4"/>
        <w:bottom w:val="single" w:sz="8" w:space="0" w:color="3374AF" w:themeColor="accent4"/>
        <w:right w:val="single" w:sz="8" w:space="0" w:color="3374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74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74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74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C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DC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4B47" w:themeColor="accent5"/>
        <w:left w:val="single" w:sz="8" w:space="0" w:color="814B47" w:themeColor="accent5"/>
        <w:bottom w:val="single" w:sz="8" w:space="0" w:color="814B47" w:themeColor="accent5"/>
        <w:right w:val="single" w:sz="8" w:space="0" w:color="814B4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4B4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4B4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4B4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C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C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183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9D87" w:themeColor="accent6"/>
        <w:left w:val="single" w:sz="8" w:space="0" w:color="419D87" w:themeColor="accent6"/>
        <w:bottom w:val="single" w:sz="8" w:space="0" w:color="419D87" w:themeColor="accent6"/>
        <w:right w:val="single" w:sz="8" w:space="0" w:color="419D8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9D8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9D8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9D8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A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A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D46C6D" w:themeColor="accent1" w:themeTint="BF"/>
        <w:left w:val="single" w:sz="8" w:space="0" w:color="D46C6D" w:themeColor="accent1" w:themeTint="BF"/>
        <w:bottom w:val="single" w:sz="8" w:space="0" w:color="D46C6D" w:themeColor="accent1" w:themeTint="BF"/>
        <w:right w:val="single" w:sz="8" w:space="0" w:color="D46C6D" w:themeColor="accent1" w:themeTint="BF"/>
        <w:insideH w:val="single" w:sz="8" w:space="0" w:color="D46C6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6C6D" w:themeColor="accent1" w:themeTint="BF"/>
          <w:left w:val="single" w:sz="8" w:space="0" w:color="D46C6D" w:themeColor="accent1" w:themeTint="BF"/>
          <w:bottom w:val="single" w:sz="8" w:space="0" w:color="D46C6D" w:themeColor="accent1" w:themeTint="BF"/>
          <w:right w:val="single" w:sz="8" w:space="0" w:color="D46C6D" w:themeColor="accent1" w:themeTint="BF"/>
          <w:insideH w:val="nil"/>
          <w:insideV w:val="nil"/>
        </w:tcBorders>
        <w:shd w:val="clear" w:color="auto" w:fill="C63B3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6C6D" w:themeColor="accent1" w:themeTint="BF"/>
          <w:left w:val="single" w:sz="8" w:space="0" w:color="D46C6D" w:themeColor="accent1" w:themeTint="BF"/>
          <w:bottom w:val="single" w:sz="8" w:space="0" w:color="D46C6D" w:themeColor="accent1" w:themeTint="BF"/>
          <w:right w:val="single" w:sz="8" w:space="0" w:color="D46C6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EC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EC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FAB87C" w:themeColor="accent2" w:themeTint="BF"/>
        <w:left w:val="single" w:sz="8" w:space="0" w:color="FAB87C" w:themeColor="accent2" w:themeTint="BF"/>
        <w:bottom w:val="single" w:sz="8" w:space="0" w:color="FAB87C" w:themeColor="accent2" w:themeTint="BF"/>
        <w:right w:val="single" w:sz="8" w:space="0" w:color="FAB87C" w:themeColor="accent2" w:themeTint="BF"/>
        <w:insideH w:val="single" w:sz="8" w:space="0" w:color="FAB87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87C" w:themeColor="accent2" w:themeTint="BF"/>
          <w:left w:val="single" w:sz="8" w:space="0" w:color="FAB87C" w:themeColor="accent2" w:themeTint="BF"/>
          <w:bottom w:val="single" w:sz="8" w:space="0" w:color="FAB87C" w:themeColor="accent2" w:themeTint="BF"/>
          <w:right w:val="single" w:sz="8" w:space="0" w:color="FAB87C" w:themeColor="accent2" w:themeTint="BF"/>
          <w:insideH w:val="nil"/>
          <w:insideV w:val="nil"/>
        </w:tcBorders>
        <w:shd w:val="clear" w:color="auto" w:fill="F9A15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7C" w:themeColor="accent2" w:themeTint="BF"/>
          <w:left w:val="single" w:sz="8" w:space="0" w:color="FAB87C" w:themeColor="accent2" w:themeTint="BF"/>
          <w:bottom w:val="single" w:sz="8" w:space="0" w:color="FAB87C" w:themeColor="accent2" w:themeTint="BF"/>
          <w:right w:val="single" w:sz="8" w:space="0" w:color="FAB87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B359AF" w:themeColor="accent3" w:themeTint="BF"/>
        <w:left w:val="single" w:sz="8" w:space="0" w:color="B359AF" w:themeColor="accent3" w:themeTint="BF"/>
        <w:bottom w:val="single" w:sz="8" w:space="0" w:color="B359AF" w:themeColor="accent3" w:themeTint="BF"/>
        <w:right w:val="single" w:sz="8" w:space="0" w:color="B359AF" w:themeColor="accent3" w:themeTint="BF"/>
        <w:insideH w:val="single" w:sz="8" w:space="0" w:color="B359A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59AF" w:themeColor="accent3" w:themeTint="BF"/>
          <w:left w:val="single" w:sz="8" w:space="0" w:color="B359AF" w:themeColor="accent3" w:themeTint="BF"/>
          <w:bottom w:val="single" w:sz="8" w:space="0" w:color="B359AF" w:themeColor="accent3" w:themeTint="BF"/>
          <w:right w:val="single" w:sz="8" w:space="0" w:color="B359AF" w:themeColor="accent3" w:themeTint="BF"/>
          <w:insideH w:val="nil"/>
          <w:insideV w:val="nil"/>
        </w:tcBorders>
        <w:shd w:val="clear" w:color="auto" w:fill="813B7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59AF" w:themeColor="accent3" w:themeTint="BF"/>
          <w:left w:val="single" w:sz="8" w:space="0" w:color="B359AF" w:themeColor="accent3" w:themeTint="BF"/>
          <w:bottom w:val="single" w:sz="8" w:space="0" w:color="B359AF" w:themeColor="accent3" w:themeTint="BF"/>
          <w:right w:val="single" w:sz="8" w:space="0" w:color="B359A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8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C8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5A97CF" w:themeColor="accent4" w:themeTint="BF"/>
        <w:left w:val="single" w:sz="8" w:space="0" w:color="5A97CF" w:themeColor="accent4" w:themeTint="BF"/>
        <w:bottom w:val="single" w:sz="8" w:space="0" w:color="5A97CF" w:themeColor="accent4" w:themeTint="BF"/>
        <w:right w:val="single" w:sz="8" w:space="0" w:color="5A97CF" w:themeColor="accent4" w:themeTint="BF"/>
        <w:insideH w:val="single" w:sz="8" w:space="0" w:color="5A97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97CF" w:themeColor="accent4" w:themeTint="BF"/>
          <w:left w:val="single" w:sz="8" w:space="0" w:color="5A97CF" w:themeColor="accent4" w:themeTint="BF"/>
          <w:bottom w:val="single" w:sz="8" w:space="0" w:color="5A97CF" w:themeColor="accent4" w:themeTint="BF"/>
          <w:right w:val="single" w:sz="8" w:space="0" w:color="5A97CF" w:themeColor="accent4" w:themeTint="BF"/>
          <w:insideH w:val="nil"/>
          <w:insideV w:val="nil"/>
        </w:tcBorders>
        <w:shd w:val="clear" w:color="auto" w:fill="3374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97CF" w:themeColor="accent4" w:themeTint="BF"/>
          <w:left w:val="single" w:sz="8" w:space="0" w:color="5A97CF" w:themeColor="accent4" w:themeTint="BF"/>
          <w:bottom w:val="single" w:sz="8" w:space="0" w:color="5A97CF" w:themeColor="accent4" w:themeTint="BF"/>
          <w:right w:val="single" w:sz="8" w:space="0" w:color="5A97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C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DC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AC6D69" w:themeColor="accent5" w:themeTint="BF"/>
        <w:left w:val="single" w:sz="8" w:space="0" w:color="AC6D69" w:themeColor="accent5" w:themeTint="BF"/>
        <w:bottom w:val="single" w:sz="8" w:space="0" w:color="AC6D69" w:themeColor="accent5" w:themeTint="BF"/>
        <w:right w:val="single" w:sz="8" w:space="0" w:color="AC6D69" w:themeColor="accent5" w:themeTint="BF"/>
        <w:insideH w:val="single" w:sz="8" w:space="0" w:color="AC6D6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6D69" w:themeColor="accent5" w:themeTint="BF"/>
          <w:left w:val="single" w:sz="8" w:space="0" w:color="AC6D69" w:themeColor="accent5" w:themeTint="BF"/>
          <w:bottom w:val="single" w:sz="8" w:space="0" w:color="AC6D69" w:themeColor="accent5" w:themeTint="BF"/>
          <w:right w:val="single" w:sz="8" w:space="0" w:color="AC6D69" w:themeColor="accent5" w:themeTint="BF"/>
          <w:insideH w:val="nil"/>
          <w:insideV w:val="nil"/>
        </w:tcBorders>
        <w:shd w:val="clear" w:color="auto" w:fill="814B4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6D69" w:themeColor="accent5" w:themeTint="BF"/>
          <w:left w:val="single" w:sz="8" w:space="0" w:color="AC6D69" w:themeColor="accent5" w:themeTint="BF"/>
          <w:bottom w:val="single" w:sz="8" w:space="0" w:color="AC6D69" w:themeColor="accent5" w:themeTint="BF"/>
          <w:right w:val="single" w:sz="8" w:space="0" w:color="AC6D6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C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C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8" w:space="0" w:color="66BFAA" w:themeColor="accent6" w:themeTint="BF"/>
        <w:left w:val="single" w:sz="8" w:space="0" w:color="66BFAA" w:themeColor="accent6" w:themeTint="BF"/>
        <w:bottom w:val="single" w:sz="8" w:space="0" w:color="66BFAA" w:themeColor="accent6" w:themeTint="BF"/>
        <w:right w:val="single" w:sz="8" w:space="0" w:color="66BFAA" w:themeColor="accent6" w:themeTint="BF"/>
        <w:insideH w:val="single" w:sz="8" w:space="0" w:color="66BFA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BFAA" w:themeColor="accent6" w:themeTint="BF"/>
          <w:left w:val="single" w:sz="8" w:space="0" w:color="66BFAA" w:themeColor="accent6" w:themeTint="BF"/>
          <w:bottom w:val="single" w:sz="8" w:space="0" w:color="66BFAA" w:themeColor="accent6" w:themeTint="BF"/>
          <w:right w:val="single" w:sz="8" w:space="0" w:color="66BFAA" w:themeColor="accent6" w:themeTint="BF"/>
          <w:insideH w:val="nil"/>
          <w:insideV w:val="nil"/>
        </w:tcBorders>
        <w:shd w:val="clear" w:color="auto" w:fill="419D8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BFAA" w:themeColor="accent6" w:themeTint="BF"/>
          <w:left w:val="single" w:sz="8" w:space="0" w:color="66BFAA" w:themeColor="accent6" w:themeTint="BF"/>
          <w:bottom w:val="single" w:sz="8" w:space="0" w:color="66BFAA" w:themeColor="accent6" w:themeTint="BF"/>
          <w:right w:val="single" w:sz="8" w:space="0" w:color="66BFA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A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A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183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3B3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3B3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63B3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5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15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15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13B7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3B7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13B7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74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74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74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14B4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4B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14B4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183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9D8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9D8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9D8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zione">
    <w:name w:val="Mention"/>
    <w:basedOn w:val="Carpredefinitoparagrafo"/>
    <w:uiPriority w:val="99"/>
    <w:semiHidden/>
    <w:unhideWhenUsed/>
    <w:rsid w:val="00183512"/>
    <w:rPr>
      <w:color w:val="2B579A"/>
      <w:shd w:val="clear" w:color="auto" w:fill="E6E6E6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F32D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F32D60"/>
    <w:rPr>
      <w:rFonts w:asciiTheme="majorHAnsi" w:eastAsiaTheme="majorEastAsia" w:hAnsiTheme="majorHAnsi" w:cstheme="majorBidi"/>
      <w:color w:val="3B3B3B" w:themeColor="text2" w:themeTint="E6"/>
      <w:sz w:val="24"/>
      <w:szCs w:val="24"/>
      <w:shd w:val="pct20" w:color="auto" w:fill="auto"/>
    </w:rPr>
  </w:style>
  <w:style w:type="paragraph" w:styleId="Nessunaspaziatura">
    <w:name w:val="No Spacing"/>
    <w:link w:val="NessunaspaziaturaCarattere"/>
    <w:uiPriority w:val="1"/>
    <w:unhideWhenUsed/>
    <w:qFormat/>
    <w:rsid w:val="00183512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183512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183512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183512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183512"/>
  </w:style>
  <w:style w:type="character" w:styleId="Numeropagina">
    <w:name w:val="page number"/>
    <w:basedOn w:val="Carpredefinitoparagrafo"/>
    <w:uiPriority w:val="99"/>
    <w:semiHidden/>
    <w:unhideWhenUsed/>
    <w:rsid w:val="00183512"/>
  </w:style>
  <w:style w:type="character" w:styleId="Testosegnaposto">
    <w:name w:val="Placeholder Text"/>
    <w:basedOn w:val="Carpredefinitoparagrafo"/>
    <w:uiPriority w:val="99"/>
    <w:semiHidden/>
    <w:rsid w:val="00F32D60"/>
    <w:rPr>
      <w:color w:val="5C5C5C" w:themeColor="text2" w:themeTint="BF"/>
    </w:rPr>
  </w:style>
  <w:style w:type="table" w:styleId="Tabellasemplice-1">
    <w:name w:val="Plain Table 1"/>
    <w:basedOn w:val="Tabellanormale"/>
    <w:uiPriority w:val="41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1835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18351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83512"/>
    <w:pPr>
      <w:spacing w:after="0" w:line="240" w:lineRule="auto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83512"/>
    <w:rPr>
      <w:rFonts w:ascii="Consolas" w:hAnsi="Consolas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183512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183512"/>
  </w:style>
  <w:style w:type="paragraph" w:styleId="Firma">
    <w:name w:val="Signature"/>
    <w:basedOn w:val="Normale"/>
    <w:link w:val="FirmaCarattere"/>
    <w:uiPriority w:val="99"/>
    <w:semiHidden/>
    <w:unhideWhenUsed/>
    <w:rsid w:val="00183512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183512"/>
  </w:style>
  <w:style w:type="character" w:styleId="Collegamentoipertestualeintelligente">
    <w:name w:val="Smart Hyperlink"/>
    <w:basedOn w:val="Carpredefinitoparagrafo"/>
    <w:uiPriority w:val="99"/>
    <w:semiHidden/>
    <w:unhideWhenUsed/>
    <w:rsid w:val="00183512"/>
    <w:rPr>
      <w:u w:val="dotted"/>
    </w:rPr>
  </w:style>
  <w:style w:type="character" w:styleId="Enfasigrassetto">
    <w:name w:val="Strong"/>
    <w:basedOn w:val="Carpredefinitoparagrafo"/>
    <w:uiPriority w:val="22"/>
    <w:semiHidden/>
    <w:unhideWhenUsed/>
    <w:qFormat/>
    <w:rsid w:val="00183512"/>
    <w:rPr>
      <w:b/>
      <w:bCs/>
    </w:rPr>
  </w:style>
  <w:style w:type="table" w:styleId="Tabellaeffetti3D1">
    <w:name w:val="Table 3D effects 1"/>
    <w:basedOn w:val="Tabellanormale"/>
    <w:uiPriority w:val="99"/>
    <w:semiHidden/>
    <w:unhideWhenUsed/>
    <w:rsid w:val="0018351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18351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18351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18351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18351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18351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18351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18351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18351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18351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18351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18351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18351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18351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18351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18351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18351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18351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18351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18351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1835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18351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18351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18351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18351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18351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18351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183512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183512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18351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18351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18351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18351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rsid w:val="0018351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183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18351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18351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rsid w:val="0018351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1835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2D6970"/>
    <w:pPr>
      <w:spacing w:before="360" w:after="360"/>
    </w:pPr>
    <w:rPr>
      <w:rFonts w:asciiTheme="minorHAnsi" w:hAnsiTheme="minorHAnsi" w:cstheme="minorHAnsi"/>
      <w:bCs/>
      <w:caps/>
      <w:color w:val="D8217C"/>
      <w:sz w:val="22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2D6970"/>
    <w:pPr>
      <w:spacing w:after="0"/>
    </w:pPr>
    <w:rPr>
      <w:rFonts w:ascii="Calibri" w:hAnsi="Calibri" w:cstheme="minorHAnsi"/>
      <w:bCs/>
      <w:smallCaps/>
      <w:sz w:val="25"/>
    </w:rPr>
  </w:style>
  <w:style w:type="paragraph" w:styleId="Sommario3">
    <w:name w:val="toc 3"/>
    <w:basedOn w:val="Normale"/>
    <w:next w:val="Normale"/>
    <w:autoRedefine/>
    <w:uiPriority w:val="39"/>
    <w:unhideWhenUsed/>
    <w:rsid w:val="002D6970"/>
    <w:pPr>
      <w:spacing w:after="0"/>
      <w:ind w:left="794"/>
    </w:pPr>
    <w:rPr>
      <w:rFonts w:cstheme="minorHAnsi"/>
      <w:smallCaps/>
    </w:rPr>
  </w:style>
  <w:style w:type="paragraph" w:styleId="Sommario4">
    <w:name w:val="toc 4"/>
    <w:basedOn w:val="Normale"/>
    <w:next w:val="Normale"/>
    <w:autoRedefine/>
    <w:uiPriority w:val="39"/>
    <w:unhideWhenUsed/>
    <w:rsid w:val="00183512"/>
    <w:pPr>
      <w:spacing w:after="0"/>
    </w:pPr>
    <w:rPr>
      <w:rFonts w:asciiTheme="minorHAnsi" w:hAnsiTheme="minorHAnsi" w:cstheme="minorHAnsi"/>
      <w:sz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183512"/>
    <w:pPr>
      <w:spacing w:after="0"/>
    </w:pPr>
    <w:rPr>
      <w:rFonts w:asciiTheme="minorHAnsi" w:hAnsiTheme="minorHAnsi" w:cstheme="minorHAnsi"/>
      <w:sz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183512"/>
    <w:pPr>
      <w:spacing w:after="0"/>
    </w:pPr>
    <w:rPr>
      <w:rFonts w:asciiTheme="minorHAnsi" w:hAnsiTheme="minorHAnsi" w:cstheme="minorHAnsi"/>
      <w:sz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183512"/>
    <w:pPr>
      <w:spacing w:after="0"/>
    </w:pPr>
    <w:rPr>
      <w:rFonts w:asciiTheme="minorHAnsi" w:hAnsiTheme="minorHAnsi" w:cstheme="minorHAnsi"/>
      <w:sz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183512"/>
    <w:pPr>
      <w:spacing w:after="0"/>
    </w:pPr>
    <w:rPr>
      <w:rFonts w:asciiTheme="minorHAnsi" w:hAnsiTheme="minorHAnsi" w:cstheme="minorHAnsi"/>
      <w:sz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183512"/>
    <w:pPr>
      <w:spacing w:after="0"/>
    </w:pPr>
    <w:rPr>
      <w:rFonts w:asciiTheme="minorHAnsi" w:hAnsiTheme="minorHAnsi" w:cstheme="minorHAnsi"/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003C"/>
    <w:rPr>
      <w:color w:val="595959" w:themeColor="text1" w:themeTint="A6"/>
      <w:shd w:val="clear" w:color="auto" w:fill="E6E6E6"/>
    </w:rPr>
  </w:style>
  <w:style w:type="paragraph" w:customStyle="1" w:styleId="Paragrafobase">
    <w:name w:val="[Paragrafo base]"/>
    <w:basedOn w:val="Normale"/>
    <w:uiPriority w:val="99"/>
    <w:rsid w:val="00195FE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D1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Grocery List Theme">
  <a:themeElements>
    <a:clrScheme name="Custom 28">
      <a:dk1>
        <a:sysClr val="windowText" lastClr="000000"/>
      </a:dk1>
      <a:lt1>
        <a:sysClr val="window" lastClr="FFFFFF"/>
      </a:lt1>
      <a:dk2>
        <a:srgbClr val="262626"/>
      </a:dk2>
      <a:lt2>
        <a:srgbClr val="EAEAEA"/>
      </a:lt2>
      <a:accent1>
        <a:srgbClr val="C63B3D"/>
      </a:accent1>
      <a:accent2>
        <a:srgbClr val="F9A151"/>
      </a:accent2>
      <a:accent3>
        <a:srgbClr val="813B7E"/>
      </a:accent3>
      <a:accent4>
        <a:srgbClr val="3374AF"/>
      </a:accent4>
      <a:accent5>
        <a:srgbClr val="814B47"/>
      </a:accent5>
      <a:accent6>
        <a:srgbClr val="419D87"/>
      </a:accent6>
      <a:hlink>
        <a:srgbClr val="3374AF"/>
      </a:hlink>
      <a:folHlink>
        <a:srgbClr val="813B7E"/>
      </a:folHlink>
    </a:clrScheme>
    <a:fontScheme name="Custom 14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244714-D297-424C-AFF2-76448171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27</Pages>
  <Words>4794</Words>
  <Characters>27327</Characters>
  <Application>Microsoft Office Word</Application>
  <DocSecurity>0</DocSecurity>
  <Lines>227</Lines>
  <Paragraphs>64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16</cp:revision>
  <dcterms:created xsi:type="dcterms:W3CDTF">2021-10-26T08:39:00Z</dcterms:created>
  <dcterms:modified xsi:type="dcterms:W3CDTF">2021-12-06T11:33:00Z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