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B701B" w14:textId="77777777" w:rsidR="00C16C94" w:rsidRDefault="00C16C94" w:rsidP="00C16C94">
      <w:pPr>
        <w:pStyle w:val="WW-Predefinito"/>
        <w:snapToGrid w:val="0"/>
        <w:jc w:val="both"/>
        <w:rPr>
          <w:rFonts w:ascii="Cambria" w:hAnsi="Cambria" w:cs="Cambria"/>
          <w:b/>
          <w:bCs/>
          <w:sz w:val="22"/>
          <w:szCs w:val="22"/>
        </w:rPr>
      </w:pPr>
    </w:p>
    <w:p w14:paraId="1B2369A4" w14:textId="77777777" w:rsidR="00257C34" w:rsidRDefault="00677344" w:rsidP="00257C34">
      <w:pPr>
        <w:pStyle w:val="WW-Predefinito"/>
        <w:snapToGrid w:val="0"/>
        <w:jc w:val="center"/>
        <w:rPr>
          <w:rFonts w:ascii="Cambria" w:hAnsi="Cambria" w:cs="Cambria"/>
          <w:b/>
          <w:bCs/>
          <w:i/>
          <w:iCs/>
          <w:sz w:val="28"/>
          <w:szCs w:val="28"/>
        </w:rPr>
      </w:pPr>
      <w:r>
        <w:rPr>
          <w:rFonts w:ascii="Cambria" w:hAnsi="Cambria" w:cs="Cambria"/>
          <w:b/>
          <w:bCs/>
          <w:noProof/>
          <w:sz w:val="22"/>
          <w:szCs w:val="22"/>
        </w:rPr>
        <w:drawing>
          <wp:inline distT="0" distB="0" distL="0" distR="0" wp14:anchorId="22B4BE88" wp14:editId="0AFE2DFE">
            <wp:extent cx="3461566" cy="769716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283" cy="7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D660A" w14:textId="77777777" w:rsidR="00257C34" w:rsidRDefault="00257C34" w:rsidP="00257C34">
      <w:pPr>
        <w:pStyle w:val="WW-Predefinito"/>
        <w:snapToGrid w:val="0"/>
        <w:jc w:val="center"/>
        <w:rPr>
          <w:rFonts w:ascii="Cambria" w:hAnsi="Cambria" w:cs="Cambria"/>
          <w:b/>
          <w:bCs/>
          <w:i/>
          <w:iCs/>
          <w:sz w:val="28"/>
          <w:szCs w:val="28"/>
        </w:rPr>
      </w:pPr>
    </w:p>
    <w:p w14:paraId="7B474219" w14:textId="516C6E55" w:rsidR="00257C34" w:rsidRPr="00BB134C" w:rsidRDefault="00257C34" w:rsidP="00257C34">
      <w:pPr>
        <w:pStyle w:val="WW-Predefinito"/>
        <w:snapToGrid w:val="0"/>
        <w:jc w:val="center"/>
        <w:rPr>
          <w:rFonts w:ascii="Cambria" w:hAnsi="Cambria" w:cs="Cambria"/>
          <w:i/>
          <w:iCs/>
          <w:sz w:val="28"/>
          <w:szCs w:val="28"/>
        </w:rPr>
      </w:pPr>
      <w:r>
        <w:rPr>
          <w:rFonts w:ascii="Cambria" w:hAnsi="Cambria" w:cs="Cambria"/>
          <w:i/>
          <w:iCs/>
          <w:sz w:val="28"/>
          <w:szCs w:val="28"/>
        </w:rPr>
        <w:t>Report di ricerca - sintesi</w:t>
      </w:r>
    </w:p>
    <w:p w14:paraId="77BFA427" w14:textId="77777777" w:rsidR="00257C34" w:rsidRDefault="00257C34" w:rsidP="00257C34">
      <w:pPr>
        <w:pStyle w:val="WW-Predefinito"/>
        <w:snapToGrid w:val="0"/>
        <w:jc w:val="both"/>
        <w:rPr>
          <w:rFonts w:ascii="Cambria" w:hAnsi="Cambria" w:cs="Cambria"/>
          <w:sz w:val="22"/>
          <w:szCs w:val="22"/>
        </w:rPr>
      </w:pPr>
    </w:p>
    <w:p w14:paraId="7F878B2C" w14:textId="77777777" w:rsidR="00257C34" w:rsidRDefault="00257C34" w:rsidP="00257C34">
      <w:pPr>
        <w:pStyle w:val="WW-Predefinito"/>
        <w:snapToGrid w:val="0"/>
        <w:jc w:val="center"/>
        <w:rPr>
          <w:rFonts w:ascii="Cambria" w:hAnsi="Cambria" w:cs="Cambria"/>
          <w:b/>
          <w:bCs/>
          <w:i/>
          <w:iCs/>
          <w:sz w:val="28"/>
          <w:szCs w:val="28"/>
        </w:rPr>
      </w:pPr>
    </w:p>
    <w:p w14:paraId="2D5071AD" w14:textId="2D506035" w:rsidR="00BB134C" w:rsidRPr="00257C34" w:rsidRDefault="00BB134C" w:rsidP="00257C34">
      <w:pPr>
        <w:pStyle w:val="WW-Predefinito"/>
        <w:snapToGrid w:val="0"/>
        <w:jc w:val="center"/>
        <w:rPr>
          <w:rFonts w:ascii="Cambria" w:hAnsi="Cambria" w:cs="Cambria"/>
          <w:b/>
          <w:bCs/>
          <w:sz w:val="22"/>
          <w:szCs w:val="22"/>
        </w:rPr>
      </w:pPr>
      <w:r w:rsidRPr="00BB134C">
        <w:rPr>
          <w:rFonts w:ascii="Cambria" w:hAnsi="Cambria" w:cs="Cambria"/>
          <w:b/>
          <w:bCs/>
          <w:i/>
          <w:iCs/>
          <w:sz w:val="28"/>
          <w:szCs w:val="28"/>
        </w:rPr>
        <w:t>Orientamenti di consumo in un’epoca di restrizioni.</w:t>
      </w:r>
    </w:p>
    <w:p w14:paraId="0225C0F5" w14:textId="0E095BBD" w:rsidR="00BB134C" w:rsidRDefault="00BB134C" w:rsidP="00BB134C">
      <w:pPr>
        <w:pStyle w:val="WW-Predefinito"/>
        <w:snapToGrid w:val="0"/>
        <w:jc w:val="center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BB134C">
        <w:rPr>
          <w:rFonts w:ascii="Cambria" w:hAnsi="Cambria" w:cs="Cambria"/>
          <w:b/>
          <w:bCs/>
          <w:i/>
          <w:iCs/>
          <w:sz w:val="28"/>
          <w:szCs w:val="28"/>
        </w:rPr>
        <w:t>Un’indagine sul territorio veronese</w:t>
      </w:r>
    </w:p>
    <w:p w14:paraId="181126F9" w14:textId="77777777" w:rsidR="00257C34" w:rsidRDefault="00257C34" w:rsidP="00BB134C">
      <w:pPr>
        <w:pStyle w:val="WW-Predefinito"/>
        <w:snapToGrid w:val="0"/>
        <w:jc w:val="center"/>
        <w:rPr>
          <w:rFonts w:ascii="Cambria" w:hAnsi="Cambria" w:cs="Cambria"/>
          <w:b/>
          <w:bCs/>
          <w:i/>
          <w:iCs/>
          <w:sz w:val="28"/>
          <w:szCs w:val="28"/>
        </w:rPr>
      </w:pPr>
    </w:p>
    <w:p w14:paraId="6FD5A259" w14:textId="77777777" w:rsidR="00BB134C" w:rsidRDefault="00BB134C" w:rsidP="00C16C94">
      <w:pPr>
        <w:pStyle w:val="WW-Predefinito"/>
        <w:snapToGrid w:val="0"/>
        <w:jc w:val="both"/>
        <w:rPr>
          <w:rFonts w:ascii="Cambria" w:hAnsi="Cambria" w:cs="Cambria"/>
          <w:sz w:val="22"/>
          <w:szCs w:val="22"/>
        </w:rPr>
      </w:pPr>
    </w:p>
    <w:p w14:paraId="71C2176E" w14:textId="77777777" w:rsidR="00C16C94" w:rsidRPr="00517C81" w:rsidRDefault="00C16C94" w:rsidP="00C16C94">
      <w:pPr>
        <w:pStyle w:val="WW-Predefinito"/>
        <w:snapToGrid w:val="0"/>
        <w:jc w:val="both"/>
        <w:rPr>
          <w:rFonts w:ascii="Cambria" w:hAnsi="Cambria" w:cs="Cambria"/>
          <w:sz w:val="22"/>
          <w:szCs w:val="22"/>
        </w:rPr>
      </w:pPr>
      <w:r w:rsidRPr="00517C81">
        <w:rPr>
          <w:rFonts w:ascii="Cambria" w:hAnsi="Cambria" w:cs="Cambria"/>
          <w:b/>
          <w:bCs/>
          <w:sz w:val="22"/>
          <w:szCs w:val="22"/>
        </w:rPr>
        <w:t xml:space="preserve">Presentazione dell'indagine e riferimenti metodologici </w:t>
      </w:r>
    </w:p>
    <w:p w14:paraId="3E09D4C4" w14:textId="46D6ACFB" w:rsidR="004A25EC" w:rsidRPr="00517C81" w:rsidRDefault="004A25EC" w:rsidP="004A25EC">
      <w:pPr>
        <w:pStyle w:val="WW-Predefinito"/>
        <w:spacing w:line="200" w:lineRule="atLeast"/>
        <w:jc w:val="both"/>
        <w:rPr>
          <w:rFonts w:ascii="Cambria" w:hAnsi="Cambria" w:cs="Cambria"/>
          <w:sz w:val="22"/>
          <w:szCs w:val="22"/>
        </w:rPr>
      </w:pPr>
      <w:r w:rsidRPr="00517C81">
        <w:rPr>
          <w:rFonts w:ascii="Cambria" w:hAnsi="Cambria" w:cs="Cambria"/>
          <w:sz w:val="22"/>
          <w:szCs w:val="22"/>
        </w:rPr>
        <w:t>L'indagine “</w:t>
      </w:r>
      <w:r w:rsidR="001D7593" w:rsidRPr="00517C81">
        <w:rPr>
          <w:rFonts w:ascii="Cambria" w:hAnsi="Cambria" w:cs="Cambria"/>
          <w:sz w:val="22"/>
          <w:szCs w:val="22"/>
        </w:rPr>
        <w:t>Gli orientamenti di consumo in un’</w:t>
      </w:r>
      <w:r w:rsidR="00315A07" w:rsidRPr="00517C81">
        <w:rPr>
          <w:rFonts w:ascii="Cambria" w:hAnsi="Cambria" w:cs="Cambria"/>
          <w:sz w:val="22"/>
          <w:szCs w:val="22"/>
        </w:rPr>
        <w:t>e</w:t>
      </w:r>
      <w:r w:rsidR="001D7593" w:rsidRPr="00517C81">
        <w:rPr>
          <w:rFonts w:ascii="Cambria" w:hAnsi="Cambria" w:cs="Cambria"/>
          <w:sz w:val="22"/>
          <w:szCs w:val="22"/>
        </w:rPr>
        <w:t>poca di restrizioni. Un</w:t>
      </w:r>
      <w:r w:rsidR="00B45904">
        <w:rPr>
          <w:rFonts w:ascii="Cambria" w:hAnsi="Cambria" w:cs="Cambria"/>
          <w:sz w:val="22"/>
          <w:szCs w:val="22"/>
        </w:rPr>
        <w:t>’</w:t>
      </w:r>
      <w:r w:rsidR="001D7593" w:rsidRPr="00517C81">
        <w:rPr>
          <w:rFonts w:ascii="Cambria" w:hAnsi="Cambria" w:cs="Cambria"/>
          <w:sz w:val="22"/>
          <w:szCs w:val="22"/>
        </w:rPr>
        <w:t>indagine sul territorio veronese</w:t>
      </w:r>
      <w:r w:rsidRPr="00517C81">
        <w:rPr>
          <w:rFonts w:ascii="Cambria" w:hAnsi="Cambria" w:cs="Cambria"/>
          <w:sz w:val="22"/>
          <w:szCs w:val="22"/>
        </w:rPr>
        <w:t xml:space="preserve">” è stata condotta nella città di Verona </w:t>
      </w:r>
      <w:r w:rsidR="00814FF1" w:rsidRPr="00517C81">
        <w:rPr>
          <w:rFonts w:ascii="Cambria" w:hAnsi="Cambria" w:cs="Cambria"/>
          <w:sz w:val="22"/>
          <w:szCs w:val="22"/>
        </w:rPr>
        <w:t>nel mese di dicembre</w:t>
      </w:r>
      <w:r w:rsidRPr="00517C81">
        <w:rPr>
          <w:rFonts w:ascii="Cambria" w:hAnsi="Cambria" w:cs="Cambria"/>
          <w:sz w:val="22"/>
          <w:szCs w:val="22"/>
        </w:rPr>
        <w:t xml:space="preserve"> 20</w:t>
      </w:r>
      <w:r w:rsidR="00814FF1" w:rsidRPr="00517C81">
        <w:rPr>
          <w:rFonts w:ascii="Cambria" w:hAnsi="Cambria" w:cs="Cambria"/>
          <w:sz w:val="22"/>
          <w:szCs w:val="22"/>
        </w:rPr>
        <w:t>22</w:t>
      </w:r>
      <w:r w:rsidRPr="00517C81">
        <w:rPr>
          <w:rFonts w:ascii="Cambria" w:hAnsi="Cambria" w:cs="Cambria"/>
          <w:sz w:val="22"/>
          <w:szCs w:val="22"/>
        </w:rPr>
        <w:t>. Sono state intervistate</w:t>
      </w:r>
      <w:r w:rsidR="007B2868">
        <w:rPr>
          <w:rFonts w:ascii="Cambria" w:hAnsi="Cambria" w:cs="Cambria"/>
          <w:sz w:val="22"/>
          <w:szCs w:val="22"/>
        </w:rPr>
        <w:t xml:space="preserve"> </w:t>
      </w:r>
      <w:r w:rsidR="00814FF1" w:rsidRPr="00517C81">
        <w:rPr>
          <w:rFonts w:ascii="Cambria" w:hAnsi="Cambria" w:cs="Cambria"/>
          <w:sz w:val="22"/>
          <w:szCs w:val="22"/>
        </w:rPr>
        <w:t>1005</w:t>
      </w:r>
      <w:r w:rsidRPr="00517C81">
        <w:rPr>
          <w:rFonts w:ascii="Cambria" w:hAnsi="Cambria" w:cs="Cambria"/>
          <w:sz w:val="22"/>
          <w:szCs w:val="22"/>
        </w:rPr>
        <w:t xml:space="preserve"> persone con almeno 25 anni di età</w:t>
      </w:r>
      <w:r w:rsidR="00512F2F" w:rsidRPr="00517C81">
        <w:rPr>
          <w:rFonts w:ascii="Cambria" w:hAnsi="Cambria" w:cs="Cambria"/>
          <w:sz w:val="22"/>
          <w:szCs w:val="22"/>
        </w:rPr>
        <w:t>,</w:t>
      </w:r>
      <w:r w:rsidRPr="00517C81">
        <w:rPr>
          <w:rFonts w:ascii="Cambria" w:hAnsi="Cambria" w:cs="Cambria"/>
          <w:sz w:val="22"/>
          <w:szCs w:val="22"/>
        </w:rPr>
        <w:t xml:space="preserve"> residenti nel comune </w:t>
      </w:r>
      <w:r w:rsidR="00814FF1" w:rsidRPr="00517C81">
        <w:rPr>
          <w:rFonts w:ascii="Cambria" w:hAnsi="Cambria" w:cs="Cambria"/>
          <w:sz w:val="22"/>
          <w:szCs w:val="22"/>
        </w:rPr>
        <w:t>e nella provincia di Verona</w:t>
      </w:r>
      <w:r w:rsidRPr="00517C81">
        <w:rPr>
          <w:rFonts w:ascii="Cambria" w:hAnsi="Cambria" w:cs="Cambria"/>
          <w:sz w:val="22"/>
          <w:szCs w:val="22"/>
        </w:rPr>
        <w:t xml:space="preserve">, rappresentative della stratificazione per età e sesso dei residenti. L'indagine è stata condotta attraverso interviste telefoniche </w:t>
      </w:r>
      <w:r w:rsidR="007B2868">
        <w:rPr>
          <w:rFonts w:ascii="Cambria" w:hAnsi="Cambria" w:cs="Cambria"/>
          <w:sz w:val="22"/>
          <w:szCs w:val="22"/>
        </w:rPr>
        <w:t xml:space="preserve">(CATI) </w:t>
      </w:r>
      <w:r w:rsidRPr="00517C81">
        <w:rPr>
          <w:rFonts w:ascii="Cambria" w:hAnsi="Cambria" w:cs="Cambria"/>
          <w:sz w:val="22"/>
          <w:szCs w:val="22"/>
        </w:rPr>
        <w:t>dalla società SWG di Trieste.</w:t>
      </w:r>
    </w:p>
    <w:p w14:paraId="1A343C25" w14:textId="3C980A63" w:rsidR="004A25EC" w:rsidRDefault="004A25EC" w:rsidP="004A25EC">
      <w:pPr>
        <w:pStyle w:val="WW-Predefinito"/>
        <w:spacing w:line="200" w:lineRule="atLeast"/>
        <w:jc w:val="both"/>
        <w:rPr>
          <w:rFonts w:ascii="Cambria" w:hAnsi="Cambria" w:cs="Cambria"/>
          <w:sz w:val="22"/>
          <w:szCs w:val="22"/>
        </w:rPr>
      </w:pPr>
      <w:r w:rsidRPr="00517C81">
        <w:rPr>
          <w:rFonts w:ascii="Cambria" w:hAnsi="Cambria" w:cs="Cambria"/>
          <w:sz w:val="22"/>
          <w:szCs w:val="22"/>
        </w:rPr>
        <w:t>Nell</w:t>
      </w:r>
      <w:r w:rsidR="00E2124D">
        <w:rPr>
          <w:rFonts w:ascii="Cambria" w:hAnsi="Cambria" w:cs="Cambria"/>
          <w:sz w:val="22"/>
          <w:szCs w:val="22"/>
        </w:rPr>
        <w:t xml:space="preserve">’analisi </w:t>
      </w:r>
      <w:r w:rsidRPr="00517C81">
        <w:rPr>
          <w:rFonts w:ascii="Cambria" w:hAnsi="Cambria" w:cs="Cambria"/>
          <w:sz w:val="22"/>
          <w:szCs w:val="22"/>
        </w:rPr>
        <w:t xml:space="preserve">dei </w:t>
      </w:r>
      <w:r w:rsidR="00B45904">
        <w:rPr>
          <w:rFonts w:ascii="Cambria" w:hAnsi="Cambria" w:cs="Cambria"/>
          <w:sz w:val="22"/>
          <w:szCs w:val="22"/>
        </w:rPr>
        <w:t xml:space="preserve">principali </w:t>
      </w:r>
      <w:r w:rsidRPr="00517C81">
        <w:rPr>
          <w:rFonts w:ascii="Cambria" w:hAnsi="Cambria" w:cs="Cambria"/>
          <w:sz w:val="22"/>
          <w:szCs w:val="22"/>
        </w:rPr>
        <w:t xml:space="preserve">risultati, </w:t>
      </w:r>
      <w:r w:rsidR="00880175" w:rsidRPr="00517C81">
        <w:rPr>
          <w:rFonts w:ascii="Cambria" w:hAnsi="Cambria" w:cs="Cambria"/>
          <w:sz w:val="22"/>
          <w:szCs w:val="22"/>
        </w:rPr>
        <w:t xml:space="preserve">sono presenti </w:t>
      </w:r>
      <w:r w:rsidRPr="00517C81">
        <w:rPr>
          <w:rFonts w:ascii="Cambria" w:hAnsi="Cambria" w:cs="Cambria"/>
          <w:sz w:val="22"/>
          <w:szCs w:val="22"/>
        </w:rPr>
        <w:t xml:space="preserve">confronti con la situazione </w:t>
      </w:r>
      <w:r w:rsidR="00880175" w:rsidRPr="00517C81">
        <w:rPr>
          <w:rFonts w:ascii="Cambria" w:hAnsi="Cambria" w:cs="Cambria"/>
          <w:sz w:val="22"/>
          <w:szCs w:val="22"/>
        </w:rPr>
        <w:t>veronese</w:t>
      </w:r>
      <w:r w:rsidRPr="00517C81">
        <w:rPr>
          <w:rFonts w:ascii="Cambria" w:hAnsi="Cambria" w:cs="Cambria"/>
          <w:sz w:val="22"/>
          <w:szCs w:val="22"/>
        </w:rPr>
        <w:t xml:space="preserve"> </w:t>
      </w:r>
      <w:r w:rsidR="00880175" w:rsidRPr="00517C81">
        <w:rPr>
          <w:rFonts w:ascii="Cambria" w:hAnsi="Cambria" w:cs="Cambria"/>
          <w:sz w:val="22"/>
          <w:szCs w:val="22"/>
        </w:rPr>
        <w:t>e con i dati raccolti nel corso di un</w:t>
      </w:r>
      <w:r w:rsidR="00E2124D">
        <w:rPr>
          <w:rFonts w:ascii="Cambria" w:hAnsi="Cambria" w:cs="Cambria"/>
          <w:sz w:val="22"/>
          <w:szCs w:val="22"/>
        </w:rPr>
        <w:t xml:space="preserve">a precedente </w:t>
      </w:r>
      <w:r w:rsidR="00880175" w:rsidRPr="00517C81">
        <w:rPr>
          <w:rFonts w:ascii="Cambria" w:hAnsi="Cambria" w:cs="Cambria"/>
          <w:sz w:val="22"/>
          <w:szCs w:val="22"/>
        </w:rPr>
        <w:t xml:space="preserve">indagine </w:t>
      </w:r>
      <w:r w:rsidR="00E2124D">
        <w:rPr>
          <w:rFonts w:ascii="Cambria" w:hAnsi="Cambria" w:cs="Cambria"/>
          <w:sz w:val="22"/>
          <w:szCs w:val="22"/>
        </w:rPr>
        <w:t xml:space="preserve">locale </w:t>
      </w:r>
      <w:r w:rsidR="00880175" w:rsidRPr="00517C81">
        <w:rPr>
          <w:rFonts w:ascii="Cambria" w:hAnsi="Cambria" w:cs="Cambria"/>
          <w:sz w:val="22"/>
          <w:szCs w:val="22"/>
        </w:rPr>
        <w:t>svolta nel</w:t>
      </w:r>
      <w:r w:rsidRPr="00517C81">
        <w:rPr>
          <w:rFonts w:ascii="Cambria" w:hAnsi="Cambria" w:cs="Cambria"/>
          <w:sz w:val="22"/>
          <w:szCs w:val="22"/>
        </w:rPr>
        <w:t xml:space="preserve"> 20</w:t>
      </w:r>
      <w:r w:rsidR="00880175" w:rsidRPr="00517C81">
        <w:rPr>
          <w:rFonts w:ascii="Cambria" w:hAnsi="Cambria" w:cs="Cambria"/>
          <w:sz w:val="22"/>
          <w:szCs w:val="22"/>
        </w:rPr>
        <w:t>1</w:t>
      </w:r>
      <w:r w:rsidR="00512F2F" w:rsidRPr="00517C81">
        <w:rPr>
          <w:rFonts w:ascii="Cambria" w:hAnsi="Cambria" w:cs="Cambria"/>
          <w:sz w:val="22"/>
          <w:szCs w:val="22"/>
        </w:rPr>
        <w:t>8</w:t>
      </w:r>
      <w:r w:rsidRPr="00517C81">
        <w:rPr>
          <w:rFonts w:ascii="Cambria" w:hAnsi="Cambria" w:cs="Cambria"/>
          <w:sz w:val="22"/>
          <w:szCs w:val="22"/>
        </w:rPr>
        <w:t xml:space="preserve">, </w:t>
      </w:r>
      <w:r w:rsidR="00B45904">
        <w:rPr>
          <w:rFonts w:ascii="Cambria" w:hAnsi="Cambria" w:cs="Cambria"/>
          <w:sz w:val="22"/>
          <w:szCs w:val="22"/>
        </w:rPr>
        <w:t xml:space="preserve">condotta </w:t>
      </w:r>
      <w:r w:rsidRPr="00517C81">
        <w:rPr>
          <w:rFonts w:ascii="Cambria" w:hAnsi="Cambria" w:cs="Cambria"/>
          <w:sz w:val="22"/>
          <w:szCs w:val="22"/>
        </w:rPr>
        <w:t>dalla SWG di Trieste</w:t>
      </w:r>
      <w:r w:rsidR="00B45904" w:rsidRPr="00B45904">
        <w:rPr>
          <w:rFonts w:ascii="Cambria" w:hAnsi="Cambria" w:cs="Cambria"/>
          <w:sz w:val="22"/>
          <w:szCs w:val="22"/>
        </w:rPr>
        <w:t xml:space="preserve"> </w:t>
      </w:r>
      <w:r w:rsidR="00B45904" w:rsidRPr="00517C81">
        <w:rPr>
          <w:rFonts w:ascii="Cambria" w:hAnsi="Cambria" w:cs="Cambria"/>
          <w:sz w:val="22"/>
          <w:szCs w:val="22"/>
        </w:rPr>
        <w:t>con tecnica CAWI</w:t>
      </w:r>
      <w:r w:rsidR="00880175" w:rsidRPr="00517C81">
        <w:rPr>
          <w:rFonts w:ascii="Cambria" w:hAnsi="Cambria" w:cs="Cambria"/>
          <w:sz w:val="22"/>
          <w:szCs w:val="22"/>
        </w:rPr>
        <w:t xml:space="preserve">, su </w:t>
      </w:r>
      <w:r w:rsidRPr="00517C81">
        <w:rPr>
          <w:rFonts w:ascii="Cambria" w:hAnsi="Cambria" w:cs="Cambria"/>
          <w:sz w:val="22"/>
          <w:szCs w:val="22"/>
        </w:rPr>
        <w:t xml:space="preserve">un campione di </w:t>
      </w:r>
      <w:r w:rsidR="00880175" w:rsidRPr="00517C81">
        <w:rPr>
          <w:rFonts w:ascii="Cambria" w:hAnsi="Cambria" w:cs="Cambria"/>
          <w:sz w:val="22"/>
          <w:szCs w:val="22"/>
        </w:rPr>
        <w:t>1008</w:t>
      </w:r>
      <w:r w:rsidRPr="00517C81">
        <w:rPr>
          <w:rFonts w:ascii="Cambria" w:hAnsi="Cambria" w:cs="Cambria"/>
          <w:sz w:val="22"/>
          <w:szCs w:val="22"/>
        </w:rPr>
        <w:t xml:space="preserve"> residenti </w:t>
      </w:r>
      <w:r w:rsidR="00880175" w:rsidRPr="00517C81">
        <w:rPr>
          <w:rFonts w:ascii="Cambria" w:hAnsi="Cambria" w:cs="Cambria"/>
          <w:sz w:val="22"/>
          <w:szCs w:val="22"/>
        </w:rPr>
        <w:t>nel comune di Verona</w:t>
      </w:r>
      <w:r w:rsidR="00B45904">
        <w:rPr>
          <w:rFonts w:ascii="Cambria" w:hAnsi="Cambria" w:cs="Cambria"/>
          <w:sz w:val="22"/>
          <w:szCs w:val="22"/>
        </w:rPr>
        <w:t xml:space="preserve">. Anche </w:t>
      </w:r>
      <w:r w:rsidR="00C87126">
        <w:rPr>
          <w:rFonts w:ascii="Cambria" w:hAnsi="Cambria" w:cs="Cambria"/>
          <w:sz w:val="22"/>
          <w:szCs w:val="22"/>
        </w:rPr>
        <w:t>nell’</w:t>
      </w:r>
      <w:r w:rsidR="00B45904">
        <w:rPr>
          <w:rFonts w:ascii="Cambria" w:hAnsi="Cambria" w:cs="Cambria"/>
          <w:sz w:val="22"/>
          <w:szCs w:val="22"/>
        </w:rPr>
        <w:t xml:space="preserve">indagine </w:t>
      </w:r>
      <w:r w:rsidR="00C87126">
        <w:rPr>
          <w:rFonts w:ascii="Cambria" w:hAnsi="Cambria" w:cs="Cambria"/>
          <w:sz w:val="22"/>
          <w:szCs w:val="22"/>
        </w:rPr>
        <w:t xml:space="preserve">del 2018 </w:t>
      </w:r>
      <w:r w:rsidR="00B45904">
        <w:rPr>
          <w:rFonts w:ascii="Cambria" w:hAnsi="Cambria" w:cs="Cambria"/>
          <w:sz w:val="22"/>
          <w:szCs w:val="22"/>
        </w:rPr>
        <w:t>il campione era formato da soggetti</w:t>
      </w:r>
      <w:r w:rsidR="00880175" w:rsidRPr="00517C81">
        <w:rPr>
          <w:rFonts w:ascii="Cambria" w:hAnsi="Cambria" w:cs="Cambria"/>
          <w:sz w:val="22"/>
          <w:szCs w:val="22"/>
        </w:rPr>
        <w:t xml:space="preserve"> </w:t>
      </w:r>
      <w:r w:rsidRPr="00517C81">
        <w:rPr>
          <w:rFonts w:ascii="Cambria" w:hAnsi="Cambria" w:cs="Cambria"/>
          <w:sz w:val="22"/>
          <w:szCs w:val="22"/>
        </w:rPr>
        <w:t xml:space="preserve">con almeno 25 anni di età, rappresentativi della stratificazione </w:t>
      </w:r>
      <w:r w:rsidR="00517C81" w:rsidRPr="00517C81">
        <w:rPr>
          <w:rFonts w:ascii="Cambria" w:hAnsi="Cambria" w:cs="Cambria"/>
          <w:sz w:val="22"/>
          <w:szCs w:val="22"/>
        </w:rPr>
        <w:t>per età e sesso dei residenti</w:t>
      </w:r>
      <w:r w:rsidR="00B45904">
        <w:rPr>
          <w:rFonts w:ascii="Cambria" w:hAnsi="Cambria" w:cs="Cambria"/>
          <w:sz w:val="22"/>
          <w:szCs w:val="22"/>
        </w:rPr>
        <w:t xml:space="preserve"> veronesi</w:t>
      </w:r>
      <w:r w:rsidRPr="00517C81">
        <w:rPr>
          <w:rFonts w:ascii="Cambria" w:hAnsi="Cambria" w:cs="Cambria"/>
          <w:sz w:val="22"/>
          <w:szCs w:val="22"/>
        </w:rPr>
        <w:t>.</w:t>
      </w:r>
    </w:p>
    <w:p w14:paraId="60F42238" w14:textId="77777777" w:rsidR="008B479D" w:rsidRDefault="008B479D" w:rsidP="004A25EC">
      <w:pPr>
        <w:pStyle w:val="WW-Predefinito"/>
        <w:spacing w:line="200" w:lineRule="atLeast"/>
        <w:jc w:val="both"/>
        <w:rPr>
          <w:rFonts w:ascii="Cambria" w:hAnsi="Cambria" w:cs="Cambria"/>
          <w:sz w:val="22"/>
          <w:szCs w:val="22"/>
        </w:rPr>
      </w:pPr>
    </w:p>
    <w:p w14:paraId="10D1A2D3" w14:textId="77777777" w:rsidR="00570F34" w:rsidRPr="00570F34" w:rsidRDefault="00570F34" w:rsidP="004A25EC">
      <w:pPr>
        <w:pStyle w:val="WW-Predefinito"/>
        <w:spacing w:line="200" w:lineRule="atLeast"/>
        <w:jc w:val="both"/>
        <w:rPr>
          <w:rFonts w:ascii="Cambria" w:hAnsi="Cambria" w:cs="Cambria"/>
          <w:b/>
          <w:bCs/>
          <w:sz w:val="22"/>
          <w:szCs w:val="22"/>
        </w:rPr>
      </w:pPr>
      <w:r w:rsidRPr="00570F34">
        <w:rPr>
          <w:rFonts w:ascii="Cambria" w:hAnsi="Cambria" w:cs="Cambria"/>
          <w:b/>
          <w:bCs/>
          <w:sz w:val="22"/>
          <w:szCs w:val="22"/>
        </w:rPr>
        <w:t>Aumenta la preoccupazione</w:t>
      </w:r>
      <w:r>
        <w:rPr>
          <w:rFonts w:ascii="Cambria" w:hAnsi="Cambria" w:cs="Cambria"/>
          <w:b/>
          <w:bCs/>
          <w:sz w:val="22"/>
          <w:szCs w:val="22"/>
        </w:rPr>
        <w:t>.</w:t>
      </w:r>
    </w:p>
    <w:p w14:paraId="55604261" w14:textId="77777777" w:rsidR="008B479D" w:rsidRPr="008B479D" w:rsidRDefault="008B479D" w:rsidP="004A25EC">
      <w:pPr>
        <w:pStyle w:val="WW-Predefinito"/>
        <w:spacing w:line="200" w:lineRule="atLeast"/>
        <w:jc w:val="both"/>
        <w:rPr>
          <w:rFonts w:ascii="Cambria" w:hAnsi="Cambria" w:cs="Cambria"/>
          <w:b/>
          <w:bCs/>
          <w:sz w:val="22"/>
          <w:szCs w:val="22"/>
        </w:rPr>
      </w:pPr>
      <w:r w:rsidRPr="008B479D">
        <w:rPr>
          <w:rFonts w:ascii="Cambria" w:hAnsi="Cambria" w:cs="Cambria"/>
          <w:b/>
          <w:bCs/>
          <w:sz w:val="22"/>
          <w:szCs w:val="22"/>
        </w:rPr>
        <w:t>L’impatto delle dinamiche del sistema economico sulle famiglie veronesi</w:t>
      </w:r>
    </w:p>
    <w:p w14:paraId="68DF7940" w14:textId="2795D1A9" w:rsidR="004A25EC" w:rsidRDefault="00A033A5" w:rsidP="00A033A5">
      <w:pPr>
        <w:pStyle w:val="WW-Predefinito"/>
        <w:spacing w:line="200" w:lineRule="atLeast"/>
        <w:jc w:val="both"/>
        <w:rPr>
          <w:rFonts w:ascii="Cambria" w:hAnsi="Cambria" w:cs="Cambria"/>
          <w:sz w:val="22"/>
          <w:szCs w:val="22"/>
        </w:rPr>
      </w:pPr>
      <w:r w:rsidRPr="00A033A5">
        <w:rPr>
          <w:rFonts w:ascii="Cambria" w:hAnsi="Cambria" w:cs="Cambria"/>
          <w:sz w:val="22"/>
          <w:szCs w:val="22"/>
        </w:rPr>
        <w:t xml:space="preserve">Le dinamiche che caratterizzano il sistema economico </w:t>
      </w:r>
      <w:r>
        <w:rPr>
          <w:rFonts w:ascii="Cambria" w:hAnsi="Cambria" w:cs="Cambria"/>
          <w:sz w:val="22"/>
          <w:szCs w:val="22"/>
        </w:rPr>
        <w:t>hanno un’influenza sulla vita dei singoli e delle famiglie ampiamente dimostrata anche dai dati empirici. Lo strumento</w:t>
      </w:r>
      <w:r w:rsidR="00E2124D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d</w:t>
      </w:r>
      <w:r w:rsidR="00A33496">
        <w:rPr>
          <w:rFonts w:ascii="Cambria" w:hAnsi="Cambria" w:cs="Cambria"/>
          <w:sz w:val="22"/>
          <w:szCs w:val="22"/>
        </w:rPr>
        <w:t>’</w:t>
      </w:r>
      <w:r>
        <w:rPr>
          <w:rFonts w:ascii="Cambria" w:hAnsi="Cambria" w:cs="Cambria"/>
          <w:sz w:val="22"/>
          <w:szCs w:val="22"/>
        </w:rPr>
        <w:t xml:space="preserve">indagine adottato è la costruzione dell’indice delle difficoltà economiche delle famiglie, elaborato </w:t>
      </w:r>
      <w:r w:rsidR="00A33496">
        <w:rPr>
          <w:rFonts w:ascii="Cambria" w:hAnsi="Cambria" w:cs="Cambria"/>
          <w:sz w:val="22"/>
          <w:szCs w:val="22"/>
        </w:rPr>
        <w:t xml:space="preserve">sommando </w:t>
      </w:r>
      <w:r>
        <w:rPr>
          <w:rFonts w:ascii="Cambria" w:hAnsi="Cambria" w:cs="Cambria"/>
          <w:sz w:val="22"/>
          <w:szCs w:val="22"/>
        </w:rPr>
        <w:t>5 indicatori</w:t>
      </w:r>
      <w:r w:rsidR="00A33496">
        <w:rPr>
          <w:rFonts w:ascii="Cambria" w:hAnsi="Cambria" w:cs="Cambria"/>
          <w:sz w:val="22"/>
          <w:szCs w:val="22"/>
        </w:rPr>
        <w:t xml:space="preserve"> che monitorano la presenza o meno, nell’anno che precede la rilevazione</w:t>
      </w:r>
      <w:r w:rsidR="00E2124D">
        <w:rPr>
          <w:rFonts w:ascii="Cambria" w:hAnsi="Cambria" w:cs="Cambria"/>
          <w:sz w:val="22"/>
          <w:szCs w:val="22"/>
        </w:rPr>
        <w:t>,</w:t>
      </w:r>
      <w:r w:rsidR="00A33496">
        <w:rPr>
          <w:rFonts w:ascii="Cambria" w:hAnsi="Cambria" w:cs="Cambria"/>
          <w:sz w:val="22"/>
          <w:szCs w:val="22"/>
        </w:rPr>
        <w:t xml:space="preserve"> di una delle seguenti situazioni</w:t>
      </w:r>
      <w:r>
        <w:rPr>
          <w:rFonts w:ascii="Cambria" w:hAnsi="Cambria" w:cs="Cambria"/>
          <w:sz w:val="22"/>
          <w:szCs w:val="22"/>
        </w:rPr>
        <w:t xml:space="preserve">: 1. </w:t>
      </w:r>
      <w:r w:rsidR="00A33496">
        <w:rPr>
          <w:rFonts w:ascii="Cambria" w:hAnsi="Cambria" w:cs="Cambria"/>
          <w:sz w:val="22"/>
          <w:szCs w:val="22"/>
        </w:rPr>
        <w:t>i</w:t>
      </w:r>
      <w:r>
        <w:rPr>
          <w:rFonts w:ascii="Cambria" w:hAnsi="Cambria" w:cs="Cambria"/>
          <w:sz w:val="22"/>
          <w:szCs w:val="22"/>
        </w:rPr>
        <w:t xml:space="preserve">l peggioramento della condizione lavorativa di uno dei componenti la famiglia; 2. </w:t>
      </w:r>
      <w:r w:rsidR="00A33496">
        <w:rPr>
          <w:rFonts w:ascii="Cambria" w:hAnsi="Cambria" w:cs="Cambria"/>
          <w:sz w:val="22"/>
          <w:szCs w:val="22"/>
        </w:rPr>
        <w:t>l</w:t>
      </w:r>
      <w:r>
        <w:rPr>
          <w:rFonts w:ascii="Cambria" w:hAnsi="Cambria" w:cs="Cambria"/>
          <w:sz w:val="22"/>
          <w:szCs w:val="22"/>
        </w:rPr>
        <w:t xml:space="preserve">a riduzione delle spese in almeno uno dei settori merceologici monitorati; 3. </w:t>
      </w:r>
      <w:r w:rsidR="00A33496">
        <w:rPr>
          <w:rFonts w:ascii="Cambria" w:hAnsi="Cambria" w:cs="Cambria"/>
          <w:sz w:val="22"/>
          <w:szCs w:val="22"/>
        </w:rPr>
        <w:t>l</w:t>
      </w:r>
      <w:r>
        <w:rPr>
          <w:rFonts w:ascii="Cambria" w:hAnsi="Cambria" w:cs="Cambria"/>
          <w:sz w:val="22"/>
          <w:szCs w:val="22"/>
        </w:rPr>
        <w:t xml:space="preserve">a necessità di </w:t>
      </w:r>
      <w:r w:rsidR="00A33496">
        <w:rPr>
          <w:rFonts w:ascii="Cambria" w:hAnsi="Cambria" w:cs="Cambria"/>
          <w:sz w:val="22"/>
          <w:szCs w:val="22"/>
        </w:rPr>
        <w:t>un cambiamento generale nelle strategie di consumo; 4. l’insufficienza del reddito mensile a sostenere le spese abituali; 5. la necessità di richiedere aiuti economici.</w:t>
      </w:r>
      <w:r w:rsidR="007F34CB">
        <w:rPr>
          <w:rFonts w:ascii="Cambria" w:hAnsi="Cambria" w:cs="Cambria"/>
          <w:sz w:val="22"/>
          <w:szCs w:val="22"/>
        </w:rPr>
        <w:t xml:space="preserve"> L’indice sintetico che scaturisce è ricodificato in tre livelli di difficoltà economica delle famiglie: alto, medio basso e nell’ultima rilevazione condotta mostra un aumento delle famiglie che sono al livello alto di difficoltà economica</w:t>
      </w:r>
      <w:r w:rsidR="00197E53">
        <w:rPr>
          <w:rFonts w:ascii="Cambria" w:hAnsi="Cambria" w:cs="Cambria"/>
          <w:sz w:val="22"/>
          <w:szCs w:val="22"/>
        </w:rPr>
        <w:t xml:space="preserve">. Nella transizione dal 2018 al 2022 </w:t>
      </w:r>
      <w:r w:rsidR="00E2124D">
        <w:rPr>
          <w:rFonts w:ascii="Cambria" w:hAnsi="Cambria" w:cs="Cambria"/>
          <w:sz w:val="22"/>
          <w:szCs w:val="22"/>
        </w:rPr>
        <w:t>il livello alto del</w:t>
      </w:r>
      <w:r w:rsidR="00197E53">
        <w:rPr>
          <w:rFonts w:ascii="Cambria" w:hAnsi="Cambria" w:cs="Cambria"/>
          <w:sz w:val="22"/>
          <w:szCs w:val="22"/>
        </w:rPr>
        <w:t>l’indice passa, infatti, da una quota dell’11,3% al 2</w:t>
      </w:r>
      <w:r w:rsidR="00D40927">
        <w:rPr>
          <w:rFonts w:ascii="Cambria" w:hAnsi="Cambria" w:cs="Cambria"/>
          <w:sz w:val="22"/>
          <w:szCs w:val="22"/>
        </w:rPr>
        <w:t>1</w:t>
      </w:r>
      <w:r w:rsidR="00197E53">
        <w:rPr>
          <w:rFonts w:ascii="Cambria" w:hAnsi="Cambria" w:cs="Cambria"/>
          <w:sz w:val="22"/>
          <w:szCs w:val="22"/>
        </w:rPr>
        <w:t>,6%.</w:t>
      </w:r>
      <w:r w:rsidR="00D40927">
        <w:rPr>
          <w:rFonts w:ascii="Cambria" w:hAnsi="Cambria" w:cs="Cambria"/>
          <w:sz w:val="22"/>
          <w:szCs w:val="22"/>
        </w:rPr>
        <w:t xml:space="preserve"> </w:t>
      </w:r>
      <w:r w:rsidR="00713F0E">
        <w:rPr>
          <w:rFonts w:ascii="Cambria" w:hAnsi="Cambria" w:cs="Cambria"/>
          <w:sz w:val="22"/>
          <w:szCs w:val="22"/>
        </w:rPr>
        <w:t xml:space="preserve">Si tratta di una crescita significativa, che segue un periodo di maggiore ottimismo e fiducia che ha caratterizzato gli anni finali del decennio scorso. </w:t>
      </w:r>
      <w:r w:rsidR="00491F69">
        <w:rPr>
          <w:rFonts w:ascii="Cambria" w:hAnsi="Cambria" w:cs="Cambria"/>
          <w:sz w:val="22"/>
          <w:szCs w:val="22"/>
        </w:rPr>
        <w:t>In linea con il dato fornito dall’indice è la risposta degli intervistati alla richiesta di valutare la situazione economica della loro famiglia; il 3</w:t>
      </w:r>
      <w:r w:rsidR="0081297B">
        <w:rPr>
          <w:rFonts w:ascii="Cambria" w:hAnsi="Cambria" w:cs="Cambria"/>
          <w:sz w:val="22"/>
          <w:szCs w:val="22"/>
        </w:rPr>
        <w:t>9</w:t>
      </w:r>
      <w:r w:rsidR="00491F69">
        <w:rPr>
          <w:rFonts w:ascii="Cambria" w:hAnsi="Cambria" w:cs="Cambria"/>
          <w:sz w:val="22"/>
          <w:szCs w:val="22"/>
        </w:rPr>
        <w:t>,</w:t>
      </w:r>
      <w:r w:rsidR="0081297B">
        <w:rPr>
          <w:rFonts w:ascii="Cambria" w:hAnsi="Cambria" w:cs="Cambria"/>
          <w:sz w:val="22"/>
          <w:szCs w:val="22"/>
        </w:rPr>
        <w:t>4</w:t>
      </w:r>
      <w:r w:rsidR="00491F69">
        <w:rPr>
          <w:rFonts w:ascii="Cambria" w:hAnsi="Cambria" w:cs="Cambria"/>
          <w:sz w:val="22"/>
          <w:szCs w:val="22"/>
        </w:rPr>
        <w:t xml:space="preserve">% si dice infatti preoccupato, mentre nel 2018 lo era solo il </w:t>
      </w:r>
      <w:r w:rsidR="0081297B" w:rsidRPr="0081297B">
        <w:rPr>
          <w:rFonts w:ascii="Cambria" w:hAnsi="Cambria" w:cs="Arial"/>
          <w:sz w:val="22"/>
          <w:szCs w:val="22"/>
        </w:rPr>
        <w:t>25,9</w:t>
      </w:r>
      <w:r w:rsidR="00491F69" w:rsidRPr="0081297B">
        <w:rPr>
          <w:rFonts w:ascii="Cambria" w:hAnsi="Cambria" w:cs="Cambria"/>
          <w:sz w:val="22"/>
          <w:szCs w:val="22"/>
        </w:rPr>
        <w:t>%.</w:t>
      </w:r>
      <w:r w:rsidR="00491F69">
        <w:rPr>
          <w:rFonts w:ascii="Cambria" w:hAnsi="Cambria" w:cs="Cambria"/>
          <w:sz w:val="22"/>
          <w:szCs w:val="22"/>
        </w:rPr>
        <w:t xml:space="preserve"> </w:t>
      </w:r>
    </w:p>
    <w:p w14:paraId="603B694F" w14:textId="77777777" w:rsidR="00197E53" w:rsidRDefault="00197E53" w:rsidP="00A033A5">
      <w:pPr>
        <w:pStyle w:val="WW-Predefinito"/>
        <w:spacing w:line="200" w:lineRule="atLeast"/>
        <w:jc w:val="both"/>
        <w:rPr>
          <w:rFonts w:ascii="Cambria" w:hAnsi="Cambria" w:cs="Cambria"/>
          <w:sz w:val="22"/>
          <w:szCs w:val="22"/>
        </w:rPr>
      </w:pPr>
    </w:p>
    <w:p w14:paraId="4CC5C96C" w14:textId="77777777" w:rsidR="00C87126" w:rsidRDefault="00C87126" w:rsidP="0051667A">
      <w:pPr>
        <w:pStyle w:val="WW-Predefinito1"/>
        <w:spacing w:after="0" w:line="200" w:lineRule="atLeast"/>
        <w:ind w:left="708" w:firstLine="708"/>
        <w:rPr>
          <w:rFonts w:ascii="Cambria" w:hAnsi="Cambria" w:cs="Cambria"/>
          <w:i/>
        </w:rPr>
      </w:pPr>
    </w:p>
    <w:p w14:paraId="62D3793B" w14:textId="2E960836" w:rsidR="00197E53" w:rsidRPr="00197E53" w:rsidRDefault="00197E53" w:rsidP="0051667A">
      <w:pPr>
        <w:pStyle w:val="WW-Predefinito1"/>
        <w:spacing w:after="0" w:line="200" w:lineRule="atLeast"/>
        <w:ind w:left="708" w:firstLine="708"/>
        <w:rPr>
          <w:rFonts w:ascii="Cambria" w:hAnsi="Cambria" w:cs="Cambria"/>
          <w:i/>
        </w:rPr>
      </w:pPr>
      <w:r w:rsidRPr="00197E53">
        <w:rPr>
          <w:rFonts w:ascii="Cambria" w:hAnsi="Cambria" w:cs="Cambria"/>
          <w:i/>
        </w:rPr>
        <w:t xml:space="preserve">Fig. </w:t>
      </w:r>
      <w:r w:rsidR="00C87126">
        <w:rPr>
          <w:rFonts w:ascii="Cambria" w:hAnsi="Cambria" w:cs="Cambria"/>
          <w:i/>
        </w:rPr>
        <w:t>1:</w:t>
      </w:r>
      <w:r w:rsidR="002643B4">
        <w:rPr>
          <w:rFonts w:ascii="Cambria" w:hAnsi="Cambria" w:cs="Cambria"/>
          <w:i/>
        </w:rPr>
        <w:t xml:space="preserve"> Livelli dell’indice </w:t>
      </w:r>
      <w:r w:rsidRPr="00197E53">
        <w:rPr>
          <w:rFonts w:ascii="Cambria" w:hAnsi="Cambria" w:cs="Cambria"/>
          <w:i/>
        </w:rPr>
        <w:t>di difficoltà economica delle famiglie veronesi</w:t>
      </w:r>
    </w:p>
    <w:p w14:paraId="77219946" w14:textId="5ACD0ADA" w:rsidR="00B92B51" w:rsidRPr="00C16C94" w:rsidRDefault="0051667A" w:rsidP="00C87126">
      <w:pPr>
        <w:pStyle w:val="WW-Predefinito"/>
        <w:spacing w:line="200" w:lineRule="atLeast"/>
        <w:rPr>
          <w:rFonts w:ascii="Cambria" w:hAnsi="Cambria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43720CB" wp14:editId="13A7A354">
            <wp:simplePos x="0" y="0"/>
            <wp:positionH relativeFrom="column">
              <wp:posOffset>948690</wp:posOffset>
            </wp:positionH>
            <wp:positionV relativeFrom="paragraph">
              <wp:posOffset>66675</wp:posOffset>
            </wp:positionV>
            <wp:extent cx="3552825" cy="2190750"/>
            <wp:effectExtent l="0" t="0" r="9525" b="0"/>
            <wp:wrapSquare wrapText="bothSides"/>
            <wp:docPr id="10" name="Grafico 10">
              <a:extLst xmlns:a="http://schemas.openxmlformats.org/drawingml/2006/main">
                <a:ext uri="{FF2B5EF4-FFF2-40B4-BE49-F238E27FC236}">
                  <a16:creationId xmlns:a16="http://schemas.microsoft.com/office/drawing/2014/main" id="{62893E7E-C884-FA4E-49DD-C9B23856E84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79272B">
        <w:rPr>
          <w:rFonts w:ascii="Cambria" w:hAnsi="Cambria" w:cs="Cambria"/>
          <w:sz w:val="22"/>
          <w:szCs w:val="22"/>
        </w:rPr>
        <w:br w:type="textWrapping" w:clear="all"/>
      </w:r>
      <w:r w:rsidR="00F346B3" w:rsidRPr="00C16C94">
        <w:rPr>
          <w:rFonts w:ascii="Cambria" w:hAnsi="Cambria"/>
          <w:b/>
          <w:bCs/>
        </w:rPr>
        <w:t>Rinunce e percezione del futuro</w:t>
      </w:r>
    </w:p>
    <w:p w14:paraId="5F01F722" w14:textId="304A019D" w:rsidR="00F346B3" w:rsidRDefault="002643B4" w:rsidP="00C16C94">
      <w:pPr>
        <w:snapToGrid w:val="0"/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Anche a causa delle difficoltà che la congiuntura sociale ed economica ha generato n</w:t>
      </w:r>
      <w:r w:rsidR="00F346B3" w:rsidRPr="00C16C94">
        <w:rPr>
          <w:rFonts w:ascii="Cambria" w:hAnsi="Cambria" w:cs="Times New Roman"/>
        </w:rPr>
        <w:t>el corso degli ultimi due anni, i veronesi intervistati hanno dovuto rinunciare ad alcuni progetti in ambito personale e professionale. Infatti, tra coloro che avevano alcuni progetti da realizzare, in particolar modo, restaurare o rinnovare casa (il 50,5</w:t>
      </w:r>
      <w:r w:rsidR="00F14F1C">
        <w:rPr>
          <w:rFonts w:ascii="Cambria" w:hAnsi="Cambria" w:cs="Times New Roman"/>
        </w:rPr>
        <w:t>%</w:t>
      </w:r>
      <w:r w:rsidR="00F346B3" w:rsidRPr="00C16C94">
        <w:rPr>
          <w:rFonts w:ascii="Cambria" w:hAnsi="Cambria" w:cs="Times New Roman"/>
        </w:rPr>
        <w:t xml:space="preserve"> del campione), comprare un’auto (50,1%) o comprare casa (39,4%)</w:t>
      </w:r>
      <w:r w:rsidR="008A5208">
        <w:rPr>
          <w:rFonts w:ascii="Cambria" w:hAnsi="Cambria" w:cs="Times New Roman"/>
        </w:rPr>
        <w:t>, rispettivamente</w:t>
      </w:r>
      <w:r w:rsidR="00F346B3" w:rsidRPr="00C16C94">
        <w:rPr>
          <w:rFonts w:ascii="Cambria" w:hAnsi="Cambria" w:cs="Times New Roman"/>
        </w:rPr>
        <w:t xml:space="preserve">, il </w:t>
      </w:r>
      <w:r w:rsidR="00F14F1C">
        <w:rPr>
          <w:rFonts w:ascii="Cambria" w:hAnsi="Cambria" w:cs="Times New Roman"/>
        </w:rPr>
        <w:t>36,3</w:t>
      </w:r>
      <w:r w:rsidR="00F346B3" w:rsidRPr="00C16C94">
        <w:rPr>
          <w:rFonts w:ascii="Cambria" w:hAnsi="Cambria" w:cs="Times New Roman"/>
        </w:rPr>
        <w:t xml:space="preserve">% ha deciso di non effettuare lavori di restauro o rinnovo della propria casa, il </w:t>
      </w:r>
      <w:r w:rsidR="00F14F1C" w:rsidRPr="00E407BE">
        <w:rPr>
          <w:rFonts w:ascii="Cambria" w:hAnsi="Cambria" w:cs="Times New Roman"/>
        </w:rPr>
        <w:t>3</w:t>
      </w:r>
      <w:r w:rsidR="00E407BE" w:rsidRPr="00E407BE">
        <w:rPr>
          <w:rFonts w:ascii="Cambria" w:hAnsi="Cambria" w:cs="Times New Roman"/>
        </w:rPr>
        <w:t>1</w:t>
      </w:r>
      <w:r w:rsidR="00F14F1C" w:rsidRPr="00E407BE">
        <w:rPr>
          <w:rFonts w:ascii="Cambria" w:hAnsi="Cambria" w:cs="Times New Roman"/>
        </w:rPr>
        <w:t>,</w:t>
      </w:r>
      <w:r w:rsidR="00E407BE" w:rsidRPr="00E407BE">
        <w:rPr>
          <w:rFonts w:ascii="Cambria" w:hAnsi="Cambria" w:cs="Times New Roman"/>
        </w:rPr>
        <w:t>6</w:t>
      </w:r>
      <w:r w:rsidR="00F346B3" w:rsidRPr="00E407BE">
        <w:rPr>
          <w:rFonts w:ascii="Cambria" w:hAnsi="Cambria" w:cs="Times New Roman"/>
        </w:rPr>
        <w:t>% non</w:t>
      </w:r>
      <w:r w:rsidR="00F346B3" w:rsidRPr="00C16C94">
        <w:rPr>
          <w:rFonts w:ascii="Cambria" w:hAnsi="Cambria" w:cs="Times New Roman"/>
        </w:rPr>
        <w:t xml:space="preserve"> ha acquistato un’auto e il </w:t>
      </w:r>
      <w:r w:rsidR="00F14F1C">
        <w:rPr>
          <w:rFonts w:ascii="Cambria" w:hAnsi="Cambria" w:cs="Times New Roman"/>
        </w:rPr>
        <w:t>26,2</w:t>
      </w:r>
      <w:r w:rsidR="00F346B3" w:rsidRPr="00C16C94">
        <w:rPr>
          <w:rFonts w:ascii="Cambria" w:hAnsi="Cambria" w:cs="Times New Roman"/>
        </w:rPr>
        <w:t xml:space="preserve">% non ha acquistato una nuova casa. </w:t>
      </w:r>
    </w:p>
    <w:p w14:paraId="6972B1FC" w14:textId="77777777" w:rsidR="00F14F1C" w:rsidRPr="00C16C94" w:rsidRDefault="00F467C1" w:rsidP="00C16C94">
      <w:pPr>
        <w:snapToGrid w:val="0"/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Da evidenziare che tra i veronesi intervistati</w:t>
      </w:r>
      <w:r w:rsidR="00C4546C">
        <w:rPr>
          <w:rFonts w:ascii="Cambria" w:hAnsi="Cambria" w:cs="Times New Roman"/>
        </w:rPr>
        <w:t xml:space="preserve"> che avevano il desiderio di </w:t>
      </w:r>
      <w:r w:rsidR="00713F0E">
        <w:rPr>
          <w:rFonts w:ascii="Cambria" w:hAnsi="Cambria" w:cs="Times New Roman"/>
        </w:rPr>
        <w:t>“</w:t>
      </w:r>
      <w:r w:rsidR="00C4546C">
        <w:rPr>
          <w:rFonts w:ascii="Cambria" w:hAnsi="Cambria" w:cs="Times New Roman"/>
        </w:rPr>
        <w:t>allargare la famiglia</w:t>
      </w:r>
      <w:r w:rsidR="00713F0E">
        <w:rPr>
          <w:rFonts w:ascii="Cambria" w:hAnsi="Cambria" w:cs="Times New Roman"/>
        </w:rPr>
        <w:t>”</w:t>
      </w:r>
      <w:r>
        <w:rPr>
          <w:rFonts w:ascii="Cambria" w:hAnsi="Cambria" w:cs="Times New Roman"/>
        </w:rPr>
        <w:t>, il 17% ha rinunciato a concepire un figlio.</w:t>
      </w:r>
    </w:p>
    <w:p w14:paraId="7022FA31" w14:textId="1CDF7FF5" w:rsidR="0079272B" w:rsidRDefault="00C16C94" w:rsidP="00C16C94">
      <w:pPr>
        <w:snapToGrid w:val="0"/>
        <w:spacing w:after="0" w:line="240" w:lineRule="auto"/>
        <w:jc w:val="both"/>
        <w:rPr>
          <w:rFonts w:ascii="Cambria" w:hAnsi="Cambria" w:cs="Times New Roman"/>
        </w:rPr>
      </w:pPr>
      <w:r w:rsidRPr="00C16C94">
        <w:rPr>
          <w:rFonts w:ascii="Cambria" w:hAnsi="Cambria" w:cs="Times New Roman"/>
        </w:rPr>
        <w:t xml:space="preserve">Sullo sfondo di queste scelte degli ultimi due anni, i dati </w:t>
      </w:r>
      <w:r w:rsidR="00713F0E">
        <w:rPr>
          <w:rFonts w:ascii="Cambria" w:hAnsi="Cambria" w:cs="Times New Roman"/>
        </w:rPr>
        <w:t>confermano</w:t>
      </w:r>
      <w:r w:rsidRPr="00C16C94">
        <w:rPr>
          <w:rFonts w:ascii="Cambria" w:hAnsi="Cambria" w:cs="Times New Roman"/>
        </w:rPr>
        <w:t xml:space="preserve"> che </w:t>
      </w:r>
      <w:r w:rsidR="00CB430F">
        <w:rPr>
          <w:rFonts w:ascii="Cambria" w:hAnsi="Cambria" w:cs="Times New Roman"/>
        </w:rPr>
        <w:t xml:space="preserve">i veronesi sono preoccupati per la situazione economica familiare </w:t>
      </w:r>
      <w:r w:rsidR="008A5208">
        <w:rPr>
          <w:rFonts w:ascii="Cambria" w:hAnsi="Cambria" w:cs="Times New Roman"/>
        </w:rPr>
        <w:t>che sembra profilarsi nel</w:t>
      </w:r>
      <w:r w:rsidR="00CB430F">
        <w:rPr>
          <w:rFonts w:ascii="Cambria" w:hAnsi="Cambria" w:cs="Times New Roman"/>
        </w:rPr>
        <w:t xml:space="preserve"> 2023. Circa la metà del campione (48%) si dichiara preoccupato (39,4%) o fortemente preoccupato (8,6%) per il futuro. </w:t>
      </w:r>
      <w:r w:rsidR="00F42CB5">
        <w:rPr>
          <w:rFonts w:ascii="Cambria" w:hAnsi="Cambria" w:cs="Times New Roman"/>
        </w:rPr>
        <w:t>Lo stato d’animo rispetto al futuro è di preoccupazione maggiore rispetto all’atteggiamento registrato con l’indagine del 2018. In quel caso, infatti, il 25,9% degli intervistati si dichiara</w:t>
      </w:r>
      <w:r w:rsidR="00C87126">
        <w:rPr>
          <w:rFonts w:ascii="Cambria" w:hAnsi="Cambria" w:cs="Times New Roman"/>
        </w:rPr>
        <w:t>va</w:t>
      </w:r>
      <w:r w:rsidR="00F42CB5">
        <w:rPr>
          <w:rFonts w:ascii="Cambria" w:hAnsi="Cambria" w:cs="Times New Roman"/>
        </w:rPr>
        <w:t xml:space="preserve"> preoccupato, il 5,4% fortemente preoccupato. A conferma, si fa notare che </w:t>
      </w:r>
      <w:r w:rsidR="00CB430F">
        <w:rPr>
          <w:rFonts w:ascii="Cambria" w:hAnsi="Cambria" w:cs="Times New Roman"/>
        </w:rPr>
        <w:t>solamente il 5,9% affronta il nuovo anno con ottimismo</w:t>
      </w:r>
      <w:r w:rsidR="00F42CB5">
        <w:rPr>
          <w:rFonts w:ascii="Cambria" w:hAnsi="Cambria" w:cs="Times New Roman"/>
        </w:rPr>
        <w:t>. Nel 2018 gli ottimisti erano il 18,4% del campione.</w:t>
      </w:r>
    </w:p>
    <w:p w14:paraId="08E52E5A" w14:textId="77777777" w:rsidR="00491F69" w:rsidRDefault="00491F69" w:rsidP="00C16C94">
      <w:pPr>
        <w:snapToGrid w:val="0"/>
        <w:spacing w:after="0" w:line="240" w:lineRule="auto"/>
        <w:jc w:val="both"/>
        <w:rPr>
          <w:rFonts w:ascii="Cambria" w:hAnsi="Cambria" w:cs="Times New Roman"/>
        </w:rPr>
      </w:pPr>
    </w:p>
    <w:p w14:paraId="5B2FF29C" w14:textId="77777777" w:rsidR="00FE5DDE" w:rsidRDefault="00FE5DDE" w:rsidP="00C16C94">
      <w:pPr>
        <w:snapToGrid w:val="0"/>
        <w:spacing w:after="0" w:line="240" w:lineRule="auto"/>
        <w:jc w:val="both"/>
        <w:rPr>
          <w:rFonts w:ascii="Cambria" w:hAnsi="Cambria" w:cs="Times New Roman"/>
        </w:rPr>
      </w:pPr>
    </w:p>
    <w:p w14:paraId="597B2230" w14:textId="77777777" w:rsidR="0079272B" w:rsidRPr="0079272B" w:rsidRDefault="0079272B" w:rsidP="0079272B">
      <w:pPr>
        <w:pStyle w:val="WW-Predefinito"/>
        <w:spacing w:line="200" w:lineRule="atLeast"/>
        <w:jc w:val="both"/>
        <w:rPr>
          <w:rFonts w:ascii="Cambria" w:hAnsi="Cambria" w:cs="Cambria"/>
          <w:b/>
          <w:bCs/>
          <w:sz w:val="22"/>
          <w:szCs w:val="22"/>
        </w:rPr>
      </w:pPr>
      <w:r w:rsidRPr="0079272B">
        <w:rPr>
          <w:rFonts w:ascii="Cambria" w:hAnsi="Cambria" w:cs="Cambria"/>
          <w:b/>
          <w:bCs/>
          <w:sz w:val="22"/>
          <w:szCs w:val="22"/>
        </w:rPr>
        <w:t xml:space="preserve">Parenti e amici un argine contro preoccupazioni e difficoltà economiche </w:t>
      </w:r>
    </w:p>
    <w:p w14:paraId="63DB6B45" w14:textId="6EA6C1A9" w:rsidR="00FE5DDE" w:rsidRDefault="00FE5DDE" w:rsidP="00C16C94">
      <w:pPr>
        <w:snapToGrid w:val="0"/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Quando le difficoltà economiche si fanno più pressanti, la preoccupazione per il futuro è più presente e le finanze scarseggiano, a chi ci si rivolge per ottenere un sostegno economico</w:t>
      </w:r>
      <w:r w:rsidR="00713F0E">
        <w:rPr>
          <w:rFonts w:ascii="Cambria" w:hAnsi="Cambria" w:cs="Times New Roman"/>
        </w:rPr>
        <w:t>?</w:t>
      </w:r>
      <w:r>
        <w:rPr>
          <w:rFonts w:ascii="Cambria" w:hAnsi="Cambria" w:cs="Times New Roman"/>
        </w:rPr>
        <w:t xml:space="preserve"> Le reti primarie si dimostrano essere una solida fonte di sostegno. Richiesti di indicare a chi si sono rivolti</w:t>
      </w:r>
      <w:r w:rsidR="00713F0E">
        <w:rPr>
          <w:rFonts w:ascii="Cambria" w:hAnsi="Cambria" w:cs="Times New Roman"/>
        </w:rPr>
        <w:t>,</w:t>
      </w:r>
      <w:r>
        <w:rPr>
          <w:rFonts w:ascii="Cambria" w:hAnsi="Cambria" w:cs="Times New Roman"/>
        </w:rPr>
        <w:t xml:space="preserve"> gli intervistati ci restituiscono un’immagine interessante. Infatti, parenti e amici si mostrano essere una fonte di sostegno economico</w:t>
      </w:r>
      <w:r w:rsidR="00713F0E">
        <w:rPr>
          <w:rFonts w:ascii="Cambria" w:hAnsi="Cambria" w:cs="Times New Roman"/>
        </w:rPr>
        <w:t xml:space="preserve"> cui si ricorre con più frequenza e probabilmente con più</w:t>
      </w:r>
      <w:r>
        <w:rPr>
          <w:rFonts w:ascii="Cambria" w:hAnsi="Cambria" w:cs="Times New Roman"/>
        </w:rPr>
        <w:t xml:space="preserve"> </w:t>
      </w:r>
      <w:r w:rsidR="00713F0E">
        <w:rPr>
          <w:rFonts w:ascii="Cambria" w:hAnsi="Cambria" w:cs="Times New Roman"/>
        </w:rPr>
        <w:t xml:space="preserve">fiducia </w:t>
      </w:r>
      <w:r>
        <w:rPr>
          <w:rFonts w:ascii="Cambria" w:hAnsi="Cambria" w:cs="Times New Roman"/>
        </w:rPr>
        <w:t xml:space="preserve">rispetto alle banche e agli istituti finanziari. </w:t>
      </w:r>
    </w:p>
    <w:p w14:paraId="0E6068BC" w14:textId="77777777" w:rsidR="00C87126" w:rsidRDefault="00C87126" w:rsidP="00C16C94">
      <w:pPr>
        <w:snapToGrid w:val="0"/>
        <w:spacing w:after="0" w:line="240" w:lineRule="auto"/>
        <w:jc w:val="both"/>
        <w:rPr>
          <w:rFonts w:ascii="Cambria" w:hAnsi="Cambria" w:cs="Times New Roman"/>
        </w:rPr>
      </w:pPr>
    </w:p>
    <w:p w14:paraId="73AF1C1E" w14:textId="77777777" w:rsidR="00FE5DDE" w:rsidRDefault="00FE5DDE" w:rsidP="00C16C94">
      <w:pPr>
        <w:snapToGrid w:val="0"/>
        <w:spacing w:after="0" w:line="240" w:lineRule="auto"/>
        <w:jc w:val="both"/>
        <w:rPr>
          <w:rFonts w:ascii="Cambria" w:hAnsi="Cambria" w:cs="Times New Roman"/>
        </w:rPr>
      </w:pPr>
    </w:p>
    <w:p w14:paraId="1FD693E0" w14:textId="0D3CBD03" w:rsidR="00AF4EFA" w:rsidRDefault="005714ED" w:rsidP="005714ED">
      <w:pPr>
        <w:pStyle w:val="WW-Predefinito1"/>
        <w:spacing w:after="0" w:line="200" w:lineRule="atLeast"/>
        <w:ind w:left="708" w:firstLine="708"/>
        <w:rPr>
          <w:rFonts w:ascii="Cambria" w:hAnsi="Cambria" w:cs="Cambria"/>
          <w:i/>
        </w:rPr>
      </w:pPr>
      <w:r w:rsidRPr="005714ED">
        <w:rPr>
          <w:rFonts w:ascii="Cambria" w:hAnsi="Cambria" w:cs="Cambria"/>
          <w:i/>
        </w:rPr>
        <w:t xml:space="preserve">    </w:t>
      </w:r>
      <w:r w:rsidR="00713F0E" w:rsidRPr="005714ED">
        <w:rPr>
          <w:rFonts w:ascii="Cambria" w:hAnsi="Cambria" w:cs="Cambria"/>
          <w:i/>
        </w:rPr>
        <w:t>Fig. 2</w:t>
      </w:r>
      <w:r w:rsidR="00C87126">
        <w:rPr>
          <w:rFonts w:ascii="Cambria" w:hAnsi="Cambria" w:cs="Cambria"/>
          <w:i/>
        </w:rPr>
        <w:t>:</w:t>
      </w:r>
      <w:r w:rsidR="00713F0E" w:rsidRPr="005714ED">
        <w:rPr>
          <w:rFonts w:ascii="Cambria" w:hAnsi="Cambria" w:cs="Cambria"/>
          <w:i/>
        </w:rPr>
        <w:t xml:space="preserve"> A chi ci si rivolge in caso di bisogno economico?</w:t>
      </w:r>
    </w:p>
    <w:p w14:paraId="05F3BE49" w14:textId="77777777" w:rsidR="005714ED" w:rsidRPr="005714ED" w:rsidRDefault="005714ED" w:rsidP="005714ED">
      <w:pPr>
        <w:pStyle w:val="WW-Predefinito1"/>
        <w:spacing w:after="0" w:line="200" w:lineRule="atLeast"/>
        <w:ind w:left="708" w:firstLine="708"/>
        <w:rPr>
          <w:rFonts w:ascii="Cambria" w:hAnsi="Cambria" w:cs="Cambria"/>
          <w:i/>
        </w:rPr>
      </w:pPr>
    </w:p>
    <w:p w14:paraId="72D7BC0D" w14:textId="77777777" w:rsidR="00AF4EFA" w:rsidRDefault="00AF4EFA" w:rsidP="00AF4EFA">
      <w:pPr>
        <w:snapToGrid w:val="0"/>
        <w:spacing w:after="0" w:line="240" w:lineRule="auto"/>
        <w:jc w:val="center"/>
        <w:rPr>
          <w:rFonts w:ascii="Cambria" w:hAnsi="Cambria" w:cs="Times New Roman"/>
        </w:rPr>
      </w:pPr>
      <w:r w:rsidRPr="00B91373">
        <w:rPr>
          <w:rFonts w:ascii="Cambria" w:hAnsi="Cambria"/>
          <w:noProof/>
          <w:sz w:val="14"/>
          <w:szCs w:val="14"/>
        </w:rPr>
        <w:lastRenderedPageBreak/>
        <w:drawing>
          <wp:inline distT="0" distB="0" distL="0" distR="0" wp14:anchorId="1B6E35B9" wp14:editId="51891997">
            <wp:extent cx="3981450" cy="2162175"/>
            <wp:effectExtent l="0" t="0" r="0" b="9525"/>
            <wp:docPr id="11" name="Grafico 11">
              <a:extLst xmlns:a="http://schemas.openxmlformats.org/drawingml/2006/main">
                <a:ext uri="{FF2B5EF4-FFF2-40B4-BE49-F238E27FC236}">
                  <a16:creationId xmlns:a16="http://schemas.microsoft.com/office/drawing/2014/main" id="{988F9433-7468-7D17-EFF4-D88D537368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9562E24" w14:textId="239E9CFC" w:rsidR="00FE5DDE" w:rsidRDefault="00FE5DDE" w:rsidP="00C16C94">
      <w:pPr>
        <w:snapToGrid w:val="0"/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</w:t>
      </w:r>
    </w:p>
    <w:p w14:paraId="16F93B3A" w14:textId="77777777" w:rsidR="00C87126" w:rsidRDefault="00C87126" w:rsidP="00C16C94">
      <w:pPr>
        <w:snapToGrid w:val="0"/>
        <w:spacing w:after="0" w:line="240" w:lineRule="auto"/>
        <w:jc w:val="both"/>
        <w:rPr>
          <w:rFonts w:ascii="Cambria" w:hAnsi="Cambria" w:cs="Times New Roman"/>
        </w:rPr>
      </w:pPr>
    </w:p>
    <w:p w14:paraId="5A34F8D0" w14:textId="77777777" w:rsidR="00570F34" w:rsidRDefault="002643B4" w:rsidP="00C16C94">
      <w:pPr>
        <w:snapToGrid w:val="0"/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2643B4">
        <w:rPr>
          <w:rFonts w:ascii="Cambria" w:hAnsi="Cambria" w:cs="Times New Roman"/>
          <w:b/>
          <w:bCs/>
        </w:rPr>
        <w:t>L</w:t>
      </w:r>
      <w:r w:rsidR="00570F34">
        <w:rPr>
          <w:rFonts w:ascii="Cambria" w:hAnsi="Cambria" w:cs="Times New Roman"/>
          <w:b/>
          <w:bCs/>
        </w:rPr>
        <w:t xml:space="preserve">e reazioni </w:t>
      </w:r>
      <w:r w:rsidRPr="002643B4">
        <w:rPr>
          <w:rFonts w:ascii="Cambria" w:hAnsi="Cambria" w:cs="Times New Roman"/>
          <w:b/>
          <w:bCs/>
        </w:rPr>
        <w:t>a</w:t>
      </w:r>
      <w:r w:rsidR="00570F34">
        <w:rPr>
          <w:rFonts w:ascii="Cambria" w:hAnsi="Cambria" w:cs="Times New Roman"/>
          <w:b/>
          <w:bCs/>
        </w:rPr>
        <w:t>lla</w:t>
      </w:r>
      <w:r w:rsidRPr="002643B4">
        <w:rPr>
          <w:rFonts w:ascii="Cambria" w:hAnsi="Cambria" w:cs="Times New Roman"/>
          <w:b/>
          <w:bCs/>
        </w:rPr>
        <w:t xml:space="preserve"> recente crisi energetica</w:t>
      </w:r>
      <w:r w:rsidR="00570F34">
        <w:rPr>
          <w:rFonts w:ascii="Cambria" w:hAnsi="Cambria" w:cs="Times New Roman"/>
          <w:b/>
          <w:bCs/>
        </w:rPr>
        <w:t>.</w:t>
      </w:r>
    </w:p>
    <w:p w14:paraId="3D3A2652" w14:textId="77777777" w:rsidR="002643B4" w:rsidRDefault="00570F34" w:rsidP="00C16C94">
      <w:pPr>
        <w:snapToGrid w:val="0"/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  <w:bCs/>
        </w:rPr>
        <w:t>Quasi tutti danno un loro contributo, ma sono contenuti gli interventi strutturali</w:t>
      </w:r>
    </w:p>
    <w:p w14:paraId="7ADCDAB2" w14:textId="77777777" w:rsidR="00E85C88" w:rsidRDefault="002643B4" w:rsidP="00C16C94">
      <w:pPr>
        <w:snapToGrid w:val="0"/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L’attuale situazione, caratterizzata in particolare da un aumento delle difficoltà di approvvigionamento energetico, ha visto il 75% dei veronesi mobilitarsi per contenere</w:t>
      </w:r>
      <w:r w:rsidR="00E85C88">
        <w:rPr>
          <w:rFonts w:ascii="Cambria" w:hAnsi="Cambria" w:cs="Times New Roman"/>
        </w:rPr>
        <w:t xml:space="preserve"> le spese energetiche.</w:t>
      </w:r>
    </w:p>
    <w:p w14:paraId="05BEE6BD" w14:textId="77777777" w:rsidR="005714ED" w:rsidRDefault="00353D04" w:rsidP="00C16C94">
      <w:pPr>
        <w:snapToGrid w:val="0"/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Nello specifico sono state adottate diverse modalità di reazione</w:t>
      </w:r>
      <w:r w:rsidR="005714ED">
        <w:rPr>
          <w:rFonts w:ascii="Cambria" w:hAnsi="Cambria" w:cs="Times New Roman"/>
        </w:rPr>
        <w:t>,</w:t>
      </w:r>
      <w:r>
        <w:rPr>
          <w:rFonts w:ascii="Cambria" w:hAnsi="Cambria" w:cs="Times New Roman"/>
        </w:rPr>
        <w:t xml:space="preserve"> osservabili nella figura </w:t>
      </w:r>
      <w:r w:rsidR="005714ED">
        <w:rPr>
          <w:rFonts w:ascii="Cambria" w:hAnsi="Cambria" w:cs="Times New Roman"/>
        </w:rPr>
        <w:t>3</w:t>
      </w:r>
      <w:r>
        <w:rPr>
          <w:rFonts w:ascii="Cambria" w:hAnsi="Cambria" w:cs="Times New Roman"/>
        </w:rPr>
        <w:t xml:space="preserve">. </w:t>
      </w:r>
    </w:p>
    <w:p w14:paraId="07A68EBF" w14:textId="77777777" w:rsidR="005714ED" w:rsidRDefault="00353D04" w:rsidP="00C16C94">
      <w:pPr>
        <w:snapToGrid w:val="0"/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Le azioni intraprese più di frequente sono quelle relative alla gestione nell’abitazione degli strumenti che consumano energia</w:t>
      </w:r>
      <w:r w:rsidR="005714ED">
        <w:rPr>
          <w:rFonts w:ascii="Cambria" w:hAnsi="Cambria" w:cs="Times New Roman"/>
        </w:rPr>
        <w:t>,</w:t>
      </w:r>
      <w:r>
        <w:rPr>
          <w:rFonts w:ascii="Cambria" w:hAnsi="Cambria" w:cs="Times New Roman"/>
        </w:rPr>
        <w:t xml:space="preserve"> con azioni come</w:t>
      </w:r>
      <w:r w:rsidR="005714ED">
        <w:rPr>
          <w:rFonts w:ascii="Cambria" w:hAnsi="Cambria" w:cs="Times New Roman"/>
        </w:rPr>
        <w:t>:</w:t>
      </w:r>
      <w:r>
        <w:rPr>
          <w:rFonts w:ascii="Cambria" w:hAnsi="Cambria" w:cs="Times New Roman"/>
        </w:rPr>
        <w:t xml:space="preserve"> il ritardo nell’accensione del riscaldamento (89,1%) o l’abbassamento della temperatura del termostato (87%), l’installazione di lampade a led </w:t>
      </w:r>
      <w:r w:rsidR="0034753A">
        <w:rPr>
          <w:rFonts w:ascii="Cambria" w:hAnsi="Cambria" w:cs="Times New Roman"/>
        </w:rPr>
        <w:t xml:space="preserve">(73,3%) </w:t>
      </w:r>
      <w:r>
        <w:rPr>
          <w:rFonts w:ascii="Cambria" w:hAnsi="Cambria" w:cs="Times New Roman"/>
        </w:rPr>
        <w:t>o il distacco della spina degli elettrodomestici</w:t>
      </w:r>
      <w:r w:rsidR="0034753A">
        <w:rPr>
          <w:rFonts w:ascii="Cambria" w:hAnsi="Cambria" w:cs="Times New Roman"/>
        </w:rPr>
        <w:t xml:space="preserve"> (60,6%)</w:t>
      </w:r>
      <w:r>
        <w:rPr>
          <w:rFonts w:ascii="Cambria" w:hAnsi="Cambria" w:cs="Times New Roman"/>
        </w:rPr>
        <w:t xml:space="preserve">. </w:t>
      </w:r>
    </w:p>
    <w:p w14:paraId="1BBEDDB3" w14:textId="77777777" w:rsidR="005714ED" w:rsidRDefault="0034753A" w:rsidP="00C16C94">
      <w:pPr>
        <w:snapToGrid w:val="0"/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Le percentuali si dimezzano se si considerano i comportamenti legati alla mobilità: gli spostamenti in auto sono stati ridotti dal 35% degli intervistati, il 26,1% utilizza la bici muscolare e i mezzi pubblici e il 12,4% utilizza le due ruote elettriche (bici o monopattino). </w:t>
      </w:r>
    </w:p>
    <w:p w14:paraId="044BEB3B" w14:textId="77777777" w:rsidR="005714ED" w:rsidRDefault="008517F6" w:rsidP="00C16C94">
      <w:pPr>
        <w:snapToGrid w:val="0"/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Percentuali intorno al 25% hanno cercato di cambiare il fornitore o il contratto di fornitura di luce e gas.</w:t>
      </w:r>
    </w:p>
    <w:p w14:paraId="6F8BE9AF" w14:textId="27734D41" w:rsidR="0034753A" w:rsidRDefault="005714ED" w:rsidP="00C16C94">
      <w:pPr>
        <w:snapToGrid w:val="0"/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Mentre l</w:t>
      </w:r>
      <w:r w:rsidR="00D8309D">
        <w:rPr>
          <w:rFonts w:ascii="Cambria" w:hAnsi="Cambria" w:cs="Times New Roman"/>
        </w:rPr>
        <w:t>e azioni a carattere più strutturale</w:t>
      </w:r>
      <w:r w:rsidR="00D254B1">
        <w:rPr>
          <w:rFonts w:ascii="Cambria" w:hAnsi="Cambria" w:cs="Times New Roman"/>
        </w:rPr>
        <w:t>, come la sostituzione della caldaia (19,8%) o l’installazione di impianti a energia solare</w:t>
      </w:r>
      <w:r w:rsidR="00D8309D">
        <w:rPr>
          <w:rFonts w:ascii="Cambria" w:hAnsi="Cambria" w:cs="Times New Roman"/>
        </w:rPr>
        <w:t xml:space="preserve"> </w:t>
      </w:r>
      <w:r w:rsidR="00D254B1">
        <w:rPr>
          <w:rFonts w:ascii="Cambria" w:hAnsi="Cambria" w:cs="Times New Roman"/>
        </w:rPr>
        <w:t xml:space="preserve">(13%), </w:t>
      </w:r>
      <w:r w:rsidR="00D8309D">
        <w:rPr>
          <w:rFonts w:ascii="Cambria" w:hAnsi="Cambria" w:cs="Times New Roman"/>
        </w:rPr>
        <w:t xml:space="preserve">sono state </w:t>
      </w:r>
      <w:proofErr w:type="gramStart"/>
      <w:r w:rsidR="00D8309D">
        <w:rPr>
          <w:rFonts w:ascii="Cambria" w:hAnsi="Cambria" w:cs="Times New Roman"/>
        </w:rPr>
        <w:t>messe</w:t>
      </w:r>
      <w:r w:rsidR="00E407BE">
        <w:rPr>
          <w:rFonts w:ascii="Cambria" w:hAnsi="Cambria" w:cs="Times New Roman"/>
        </w:rPr>
        <w:t xml:space="preserve"> </w:t>
      </w:r>
      <w:r w:rsidR="00D8309D">
        <w:rPr>
          <w:rFonts w:ascii="Cambria" w:hAnsi="Cambria" w:cs="Times New Roman"/>
        </w:rPr>
        <w:t>in campo</w:t>
      </w:r>
      <w:proofErr w:type="gramEnd"/>
      <w:r w:rsidR="00D8309D">
        <w:rPr>
          <w:rFonts w:ascii="Cambria" w:hAnsi="Cambria" w:cs="Times New Roman"/>
        </w:rPr>
        <w:t xml:space="preserve"> da una quota di cittadini</w:t>
      </w:r>
      <w:r w:rsidR="00D254B1">
        <w:rPr>
          <w:rFonts w:ascii="Cambria" w:hAnsi="Cambria" w:cs="Times New Roman"/>
        </w:rPr>
        <w:t xml:space="preserve"> abbastanza contenuta e comunque non irrilevante. </w:t>
      </w:r>
      <w:r>
        <w:rPr>
          <w:rFonts w:ascii="Cambria" w:hAnsi="Cambria" w:cs="Times New Roman"/>
        </w:rPr>
        <w:t>Non molti sono stati coloro che hanno fatto ricorso agli aiuti statali per effettuare tali azioni strutturali: il 4,7% li ha utilizzati per opere di coibentazione della casa, il 7,3 per l’acquisto di una caldaia a risparmio energetico e il 4,1% per l’acquisto di elettrodomestici a risparmio energetico.</w:t>
      </w:r>
    </w:p>
    <w:p w14:paraId="7FCFC469" w14:textId="7261E514" w:rsidR="005714ED" w:rsidRDefault="005714ED" w:rsidP="00C16C94">
      <w:pPr>
        <w:snapToGrid w:val="0"/>
        <w:spacing w:after="0" w:line="240" w:lineRule="auto"/>
        <w:jc w:val="both"/>
        <w:rPr>
          <w:rFonts w:ascii="Cambria" w:hAnsi="Cambria" w:cs="Times New Roman"/>
        </w:rPr>
      </w:pPr>
    </w:p>
    <w:p w14:paraId="309E1545" w14:textId="77777777" w:rsidR="00C87126" w:rsidRDefault="00C87126" w:rsidP="00C16C94">
      <w:pPr>
        <w:snapToGrid w:val="0"/>
        <w:spacing w:after="0" w:line="240" w:lineRule="auto"/>
        <w:jc w:val="both"/>
        <w:rPr>
          <w:rFonts w:ascii="Cambria" w:hAnsi="Cambria" w:cs="Times New Roman"/>
        </w:rPr>
      </w:pPr>
    </w:p>
    <w:p w14:paraId="60AEE8DA" w14:textId="68BF978D" w:rsidR="00353D04" w:rsidRDefault="0034753A" w:rsidP="00633500">
      <w:pPr>
        <w:pStyle w:val="WW-Predefinito1"/>
        <w:spacing w:after="0" w:line="200" w:lineRule="atLeast"/>
        <w:jc w:val="center"/>
        <w:rPr>
          <w:rFonts w:ascii="Cambria" w:hAnsi="Cambria" w:cs="Cambria"/>
          <w:i/>
        </w:rPr>
      </w:pPr>
      <w:r w:rsidRPr="0034753A">
        <w:rPr>
          <w:rFonts w:ascii="Cambria" w:hAnsi="Cambria" w:cs="Cambria"/>
          <w:i/>
        </w:rPr>
        <w:t xml:space="preserve">Figura </w:t>
      </w:r>
      <w:r w:rsidR="005714ED">
        <w:rPr>
          <w:rFonts w:ascii="Cambria" w:hAnsi="Cambria" w:cs="Cambria"/>
          <w:i/>
        </w:rPr>
        <w:t>3</w:t>
      </w:r>
      <w:r w:rsidR="00C87126">
        <w:rPr>
          <w:rFonts w:ascii="Cambria" w:hAnsi="Cambria" w:cs="Cambria"/>
          <w:i/>
        </w:rPr>
        <w:t>:</w:t>
      </w:r>
      <w:r w:rsidRPr="0034753A">
        <w:rPr>
          <w:rFonts w:ascii="Cambria" w:hAnsi="Cambria" w:cs="Cambria"/>
          <w:i/>
        </w:rPr>
        <w:t xml:space="preserve"> Modalità di reazione alla crisi energetica</w:t>
      </w:r>
    </w:p>
    <w:p w14:paraId="3127E503" w14:textId="77777777" w:rsidR="00491F69" w:rsidRPr="0034753A" w:rsidRDefault="00491F69" w:rsidP="0034753A">
      <w:pPr>
        <w:pStyle w:val="WW-Predefinito1"/>
        <w:spacing w:after="0" w:line="200" w:lineRule="atLeast"/>
        <w:rPr>
          <w:rFonts w:ascii="Cambria" w:hAnsi="Cambria" w:cs="Cambria"/>
          <w:i/>
        </w:rPr>
      </w:pPr>
    </w:p>
    <w:p w14:paraId="62897A8E" w14:textId="77777777" w:rsidR="00353D04" w:rsidRDefault="008517F6" w:rsidP="00C16C94">
      <w:pPr>
        <w:snapToGrid w:val="0"/>
        <w:spacing w:after="0" w:line="240" w:lineRule="auto"/>
        <w:jc w:val="both"/>
        <w:rPr>
          <w:rFonts w:ascii="Cambria" w:hAnsi="Cambria" w:cs="Times New Roman"/>
        </w:rPr>
      </w:pPr>
      <w:r>
        <w:rPr>
          <w:noProof/>
        </w:rPr>
        <w:lastRenderedPageBreak/>
        <w:drawing>
          <wp:inline distT="0" distB="0" distL="0" distR="0" wp14:anchorId="6BD1755F" wp14:editId="2579ED16">
            <wp:extent cx="6105525" cy="4470400"/>
            <wp:effectExtent l="0" t="0" r="9525" b="6350"/>
            <wp:docPr id="9" name="Grafico 9">
              <a:extLst xmlns:a="http://schemas.openxmlformats.org/drawingml/2006/main">
                <a:ext uri="{FF2B5EF4-FFF2-40B4-BE49-F238E27FC236}">
                  <a16:creationId xmlns:a16="http://schemas.microsoft.com/office/drawing/2014/main" id="{FF3523A0-C4B9-ECE4-31B3-5AEA5FEF70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F2F8AF4" w14:textId="77777777" w:rsidR="008517F6" w:rsidRDefault="008517F6" w:rsidP="00C16C94">
      <w:pPr>
        <w:snapToGrid w:val="0"/>
        <w:spacing w:after="0" w:line="240" w:lineRule="auto"/>
        <w:jc w:val="both"/>
        <w:rPr>
          <w:rFonts w:ascii="Cambria" w:hAnsi="Cambria" w:cs="Times New Roman"/>
        </w:rPr>
      </w:pPr>
    </w:p>
    <w:p w14:paraId="5854CE51" w14:textId="77777777" w:rsidR="00C87126" w:rsidRDefault="00C87126" w:rsidP="00570F34">
      <w:pPr>
        <w:snapToGrid w:val="0"/>
        <w:spacing w:after="0" w:line="240" w:lineRule="auto"/>
        <w:jc w:val="both"/>
        <w:rPr>
          <w:rFonts w:ascii="Cambria" w:hAnsi="Cambria" w:cs="Times New Roman"/>
        </w:rPr>
      </w:pPr>
    </w:p>
    <w:p w14:paraId="6DF285A9" w14:textId="52AD2AEE" w:rsidR="00570F34" w:rsidRDefault="00570F34" w:rsidP="00570F34">
      <w:pPr>
        <w:snapToGrid w:val="0"/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Molto contenuta la quota di intervistati che ha aderito a forme collettive e sostenibili di produzione di energia (comunità di energia solare 6,6%). Tuttavia, se venisse loro </w:t>
      </w:r>
      <w:r w:rsidRPr="00BB50A9">
        <w:rPr>
          <w:rFonts w:ascii="Cambria" w:hAnsi="Cambria" w:cs="Times New Roman"/>
        </w:rPr>
        <w:t>proposto di aderire a una associazione di cittadini per la produzione di energia rinnovabile</w:t>
      </w:r>
      <w:r>
        <w:rPr>
          <w:rFonts w:ascii="Cambria" w:hAnsi="Cambria" w:cs="Times New Roman"/>
        </w:rPr>
        <w:t xml:space="preserve">, gli intervistati </w:t>
      </w:r>
      <w:proofErr w:type="gramStart"/>
      <w:r>
        <w:rPr>
          <w:rFonts w:ascii="Cambria" w:hAnsi="Cambria" w:cs="Times New Roman"/>
        </w:rPr>
        <w:t>si dicono</w:t>
      </w:r>
      <w:proofErr w:type="gramEnd"/>
      <w:r>
        <w:rPr>
          <w:rFonts w:ascii="Cambria" w:hAnsi="Cambria" w:cs="Times New Roman"/>
        </w:rPr>
        <w:t xml:space="preserve"> disposti a prenderla in considerazione per un valore medio di 6,13 su una scala da 1 a 10.</w:t>
      </w:r>
    </w:p>
    <w:p w14:paraId="0BFE8821" w14:textId="77777777" w:rsidR="002643B4" w:rsidRDefault="002643B4" w:rsidP="00C16C94">
      <w:pPr>
        <w:snapToGrid w:val="0"/>
        <w:spacing w:after="0" w:line="240" w:lineRule="auto"/>
        <w:jc w:val="both"/>
        <w:rPr>
          <w:rFonts w:ascii="Cambria" w:hAnsi="Cambria" w:cs="Times New Roman"/>
        </w:rPr>
      </w:pPr>
    </w:p>
    <w:p w14:paraId="3EB90479" w14:textId="77777777" w:rsidR="00570F34" w:rsidRDefault="00570F34" w:rsidP="00C16C94">
      <w:pPr>
        <w:snapToGrid w:val="0"/>
        <w:spacing w:after="0" w:line="240" w:lineRule="auto"/>
        <w:jc w:val="both"/>
        <w:rPr>
          <w:rFonts w:ascii="Cambria" w:hAnsi="Cambria" w:cs="Times New Roman"/>
        </w:rPr>
      </w:pPr>
    </w:p>
    <w:p w14:paraId="5AED6F6C" w14:textId="60E7580E" w:rsidR="00CB430F" w:rsidRDefault="00CB430F" w:rsidP="00C16C94">
      <w:pPr>
        <w:snapToGrid w:val="0"/>
        <w:spacing w:after="0" w:line="240" w:lineRule="auto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Dinamiche e scelte di consumo</w:t>
      </w:r>
      <w:r w:rsidR="00C87126">
        <w:rPr>
          <w:rFonts w:ascii="Cambria" w:hAnsi="Cambria" w:cs="Times New Roman"/>
          <w:b/>
          <w:bCs/>
        </w:rPr>
        <w:t>.</w:t>
      </w:r>
    </w:p>
    <w:p w14:paraId="2629E981" w14:textId="79EB8AC5" w:rsidR="00C87126" w:rsidRDefault="00C87126" w:rsidP="00C16C94">
      <w:pPr>
        <w:snapToGrid w:val="0"/>
        <w:spacing w:after="0" w:line="240" w:lineRule="auto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Si oscilla tra attenzione al prezzo e qualità del prodotto</w:t>
      </w:r>
    </w:p>
    <w:p w14:paraId="61D8576D" w14:textId="77777777" w:rsidR="00CB430F" w:rsidRDefault="00CB430F" w:rsidP="00C16C94">
      <w:pPr>
        <w:snapToGrid w:val="0"/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Lo stato percettivo in cui si trovano i consumatori veronesi, così come le scelte fatte negli ultimi anni in termini di progettualità, ha modificato le strategie di consumo attuate.</w:t>
      </w:r>
    </w:p>
    <w:p w14:paraId="439EDE98" w14:textId="77777777" w:rsidR="00CB430F" w:rsidRDefault="00CB430F" w:rsidP="00C16C94">
      <w:pPr>
        <w:snapToGrid w:val="0"/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Rispetto, infatti, all’indagine precedente svolta nel 201</w:t>
      </w:r>
      <w:r w:rsidR="00512F2F">
        <w:rPr>
          <w:rFonts w:ascii="Cambria" w:hAnsi="Cambria" w:cs="Times New Roman"/>
        </w:rPr>
        <w:t>8</w:t>
      </w:r>
      <w:r>
        <w:rPr>
          <w:rFonts w:ascii="Cambria" w:hAnsi="Cambria" w:cs="Times New Roman"/>
        </w:rPr>
        <w:t xml:space="preserve">, i veronesi hanno ricominciato a porre particolare attenzione al prezzo dei prodotti acquistati e hanno </w:t>
      </w:r>
      <w:r w:rsidR="008A5208">
        <w:rPr>
          <w:rFonts w:ascii="Cambria" w:hAnsi="Cambria" w:cs="Times New Roman"/>
        </w:rPr>
        <w:t xml:space="preserve">attivato </w:t>
      </w:r>
      <w:r>
        <w:rPr>
          <w:rFonts w:ascii="Cambria" w:hAnsi="Cambria" w:cs="Times New Roman"/>
        </w:rPr>
        <w:t xml:space="preserve">nuovamente un atteggiamento volto alla ricerca di offerte e promozioni.  </w:t>
      </w:r>
    </w:p>
    <w:p w14:paraId="40CE3992" w14:textId="77777777" w:rsidR="005714ED" w:rsidRDefault="005714ED" w:rsidP="005714ED">
      <w:pPr>
        <w:snapToGrid w:val="0"/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Nel momento in cui fa la spesa, l’82,7% dei veronesi afferma di prestare più attenzione, confrontando tra loro i prezzi, percentuale che nel 2018 era rappresentata dal 72,8%. Il 69,9% degli intervistati dichiara di andare più a caccia di offerte e promozioni, comportamento che era perseguito nel 2018 dal 64,7%.</w:t>
      </w:r>
    </w:p>
    <w:p w14:paraId="42837366" w14:textId="25BCF73E" w:rsidR="005714ED" w:rsidRDefault="005714ED" w:rsidP="005714ED">
      <w:pPr>
        <w:snapToGrid w:val="0"/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In ogni caso, </w:t>
      </w:r>
      <w:r w:rsidR="00425C78">
        <w:rPr>
          <w:rFonts w:ascii="Cambria" w:hAnsi="Cambria" w:cs="Times New Roman"/>
        </w:rPr>
        <w:t xml:space="preserve">in un’ottica di risparmio, </w:t>
      </w:r>
      <w:r>
        <w:rPr>
          <w:rFonts w:ascii="Cambria" w:hAnsi="Cambria" w:cs="Times New Roman"/>
        </w:rPr>
        <w:t xml:space="preserve">la strategia maggiormente attivata dai </w:t>
      </w:r>
      <w:r w:rsidR="00425C78">
        <w:rPr>
          <w:rFonts w:ascii="Cambria" w:hAnsi="Cambria" w:cs="Times New Roman"/>
        </w:rPr>
        <w:t>consumatori scaligeri</w:t>
      </w:r>
      <w:r>
        <w:rPr>
          <w:rFonts w:ascii="Cambria" w:hAnsi="Cambria" w:cs="Times New Roman"/>
        </w:rPr>
        <w:t xml:space="preserve"> è la riduzione, o eliminazione, degli sprechi</w:t>
      </w:r>
      <w:r w:rsidRPr="00E407BE">
        <w:rPr>
          <w:rFonts w:ascii="Cambria" w:hAnsi="Cambria" w:cs="Times New Roman"/>
        </w:rPr>
        <w:t>. L’8</w:t>
      </w:r>
      <w:r w:rsidR="00E407BE" w:rsidRPr="00E407BE">
        <w:rPr>
          <w:rFonts w:ascii="Cambria" w:hAnsi="Cambria" w:cs="Times New Roman"/>
        </w:rPr>
        <w:t>4</w:t>
      </w:r>
      <w:r w:rsidRPr="00E407BE">
        <w:rPr>
          <w:rFonts w:ascii="Cambria" w:hAnsi="Cambria" w:cs="Times New Roman"/>
        </w:rPr>
        <w:t>,4</w:t>
      </w:r>
      <w:r>
        <w:rPr>
          <w:rFonts w:ascii="Cambria" w:hAnsi="Cambria" w:cs="Times New Roman"/>
        </w:rPr>
        <w:t>% dei veronesi, infatti, conferma questo comportamento, segnando un incremento significativo rispetto alla precedente indagine, nella quale tale atteggiamento era diffuso tra il 69,3% dei veronesi.</w:t>
      </w:r>
    </w:p>
    <w:p w14:paraId="73C56799" w14:textId="77243B1C" w:rsidR="00C87126" w:rsidRDefault="00C87126" w:rsidP="00C16C94">
      <w:pPr>
        <w:snapToGrid w:val="0"/>
        <w:spacing w:after="0" w:line="240" w:lineRule="auto"/>
        <w:jc w:val="both"/>
        <w:rPr>
          <w:rFonts w:ascii="Cambria" w:hAnsi="Cambria" w:cs="Times New Roman"/>
        </w:rPr>
      </w:pPr>
    </w:p>
    <w:p w14:paraId="43FC9BFB" w14:textId="4CF8BAEF" w:rsidR="00C87126" w:rsidRDefault="00C87126" w:rsidP="00C16C94">
      <w:pPr>
        <w:snapToGrid w:val="0"/>
        <w:spacing w:after="0" w:line="240" w:lineRule="auto"/>
        <w:jc w:val="both"/>
        <w:rPr>
          <w:rFonts w:ascii="Cambria" w:hAnsi="Cambria" w:cs="Times New Roman"/>
        </w:rPr>
      </w:pPr>
    </w:p>
    <w:p w14:paraId="2F9BEC87" w14:textId="77777777" w:rsidR="00E953EB" w:rsidRDefault="00E953EB" w:rsidP="00633500">
      <w:pPr>
        <w:pStyle w:val="WW-Predefinito1"/>
        <w:spacing w:line="200" w:lineRule="atLeast"/>
        <w:jc w:val="center"/>
      </w:pPr>
      <w:r>
        <w:rPr>
          <w:rFonts w:ascii="Cambria" w:hAnsi="Cambria" w:cs="Cambria"/>
          <w:i/>
        </w:rPr>
        <w:t>Fig.</w:t>
      </w:r>
      <w:r w:rsidR="005714ED">
        <w:rPr>
          <w:rFonts w:ascii="Cambria" w:hAnsi="Cambria" w:cs="Cambria"/>
          <w:i/>
        </w:rPr>
        <w:t>4</w:t>
      </w:r>
      <w:r>
        <w:rPr>
          <w:rFonts w:ascii="Cambria" w:hAnsi="Cambria" w:cs="Cambria"/>
          <w:i/>
        </w:rPr>
        <w:t>: Strategia nella modalità di spesa (scala 1-10)</w:t>
      </w:r>
    </w:p>
    <w:p w14:paraId="0BCDB6BC" w14:textId="77777777" w:rsidR="00E953EB" w:rsidRDefault="00E953EB" w:rsidP="00E953EB">
      <w:pPr>
        <w:snapToGrid w:val="0"/>
        <w:spacing w:after="0" w:line="240" w:lineRule="auto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12B43F49" wp14:editId="0C370CA2">
            <wp:extent cx="5899150" cy="2825750"/>
            <wp:effectExtent l="0" t="0" r="6350" b="12700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DE80CE8" w14:textId="28D935CA" w:rsidR="00E953EB" w:rsidRDefault="00E953EB" w:rsidP="00C16C94">
      <w:pPr>
        <w:snapToGrid w:val="0"/>
        <w:spacing w:after="0" w:line="240" w:lineRule="auto"/>
        <w:jc w:val="both"/>
        <w:rPr>
          <w:rFonts w:ascii="Cambria" w:hAnsi="Cambria" w:cs="Times New Roman"/>
        </w:rPr>
      </w:pPr>
    </w:p>
    <w:p w14:paraId="6F069199" w14:textId="77777777" w:rsidR="00C87126" w:rsidRDefault="00C87126" w:rsidP="00C16C94">
      <w:pPr>
        <w:snapToGrid w:val="0"/>
        <w:spacing w:after="0" w:line="240" w:lineRule="auto"/>
        <w:jc w:val="both"/>
        <w:rPr>
          <w:rFonts w:ascii="Cambria" w:hAnsi="Cambria" w:cs="Times New Roman"/>
        </w:rPr>
      </w:pPr>
    </w:p>
    <w:p w14:paraId="7A440C79" w14:textId="77777777" w:rsidR="00425C78" w:rsidRDefault="00425C78" w:rsidP="00425C78">
      <w:pPr>
        <w:snapToGrid w:val="0"/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Le trasformazioni nella modalità di spesa interessano anche i consumi alimentari. </w:t>
      </w:r>
    </w:p>
    <w:p w14:paraId="1F9F8940" w14:textId="77777777" w:rsidR="00425C78" w:rsidRDefault="00425C78" w:rsidP="00425C78">
      <w:pPr>
        <w:snapToGrid w:val="0"/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Si conferma, anche in questo caso, l’attenzione allo spreco, comportamento scelto dal 78,2% dei veronesi coinvolti nello studio. Il 73,4% cerca di acquistare prodotti freschi, mentre il 70% cucina maggiormente in casa, evitando di acquistare piatti già cucinati.</w:t>
      </w:r>
    </w:p>
    <w:p w14:paraId="46612980" w14:textId="77777777" w:rsidR="005714ED" w:rsidRDefault="005714ED" w:rsidP="005714ED">
      <w:pPr>
        <w:snapToGrid w:val="0"/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Si evidenzia e conferma una particolare attenzione alla scelta del cibo in termini di qualità. Infatti, il 67,9% dichiara di stare più attento a ciò che mangia, il 64% afferma di mangiare più sano.</w:t>
      </w:r>
    </w:p>
    <w:p w14:paraId="1881F7C2" w14:textId="77777777" w:rsidR="005714ED" w:rsidRDefault="005714ED" w:rsidP="005714ED">
      <w:pPr>
        <w:snapToGrid w:val="0"/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Sempre nell’ambito delle scelte di consumo alimentare, i veronesi acquistano tali prodotti ponendo attenzione soprattutto alla provenienza del prodotto (il 29,7%), alla convenienza (il 27,9%) e alla sua stagionalità (il 17,1%). I veronesi cercano la qualità del prodotto alimentare affidandosi, inoltre, alla sua certificazione (12%).</w:t>
      </w:r>
    </w:p>
    <w:p w14:paraId="4D0A824D" w14:textId="77777777" w:rsidR="00E953EB" w:rsidRDefault="00E953EB" w:rsidP="00C16C94">
      <w:pPr>
        <w:snapToGrid w:val="0"/>
        <w:spacing w:after="0" w:line="240" w:lineRule="auto"/>
        <w:jc w:val="both"/>
        <w:rPr>
          <w:rFonts w:ascii="Cambria" w:hAnsi="Cambria" w:cs="Times New Roman"/>
        </w:rPr>
      </w:pPr>
    </w:p>
    <w:p w14:paraId="27359FFD" w14:textId="36EC63D1" w:rsidR="005714ED" w:rsidRDefault="005714ED" w:rsidP="00C16C94">
      <w:pPr>
        <w:snapToGrid w:val="0"/>
        <w:spacing w:after="0" w:line="240" w:lineRule="auto"/>
        <w:jc w:val="both"/>
        <w:rPr>
          <w:rFonts w:ascii="Cambria" w:hAnsi="Cambria" w:cs="Times New Roman"/>
        </w:rPr>
      </w:pPr>
    </w:p>
    <w:p w14:paraId="25BE0EE9" w14:textId="074ECD26" w:rsidR="00C87126" w:rsidRDefault="00C87126" w:rsidP="00C16C94">
      <w:pPr>
        <w:snapToGrid w:val="0"/>
        <w:spacing w:after="0" w:line="240" w:lineRule="auto"/>
        <w:jc w:val="both"/>
        <w:rPr>
          <w:rFonts w:ascii="Cambria" w:hAnsi="Cambria" w:cs="Times New Roman"/>
        </w:rPr>
      </w:pPr>
    </w:p>
    <w:p w14:paraId="7520EFBC" w14:textId="0B9A03B3" w:rsidR="00C87126" w:rsidRDefault="00C87126" w:rsidP="00C16C94">
      <w:pPr>
        <w:snapToGrid w:val="0"/>
        <w:spacing w:after="0" w:line="240" w:lineRule="auto"/>
        <w:jc w:val="both"/>
        <w:rPr>
          <w:rFonts w:ascii="Cambria" w:hAnsi="Cambria" w:cs="Times New Roman"/>
        </w:rPr>
      </w:pPr>
    </w:p>
    <w:p w14:paraId="4F47627C" w14:textId="77777777" w:rsidR="00EB5419" w:rsidRDefault="00EB5419" w:rsidP="00633500">
      <w:pPr>
        <w:pStyle w:val="WW-Predefinito1"/>
        <w:spacing w:line="200" w:lineRule="atLeast"/>
        <w:jc w:val="center"/>
      </w:pPr>
      <w:r>
        <w:rPr>
          <w:rFonts w:ascii="Cambria" w:hAnsi="Cambria" w:cs="Cambria"/>
          <w:i/>
        </w:rPr>
        <w:t xml:space="preserve">Fig. </w:t>
      </w:r>
      <w:r w:rsidR="005714ED">
        <w:rPr>
          <w:rFonts w:ascii="Cambria" w:hAnsi="Cambria" w:cs="Cambria"/>
          <w:i/>
        </w:rPr>
        <w:t>5</w:t>
      </w:r>
      <w:r>
        <w:rPr>
          <w:rFonts w:ascii="Cambria" w:hAnsi="Cambria" w:cs="Cambria"/>
          <w:i/>
        </w:rPr>
        <w:t>: Scelte di consumo alimentare dell’ultimo anno (scala 1-10)</w:t>
      </w:r>
    </w:p>
    <w:p w14:paraId="009A0405" w14:textId="77777777" w:rsidR="00E953EB" w:rsidRDefault="008904F8" w:rsidP="00623980">
      <w:pPr>
        <w:snapToGrid w:val="0"/>
        <w:spacing w:after="0" w:line="240" w:lineRule="auto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  <w:noProof/>
        </w:rPr>
        <w:lastRenderedPageBreak/>
        <w:drawing>
          <wp:inline distT="0" distB="0" distL="0" distR="0" wp14:anchorId="38E10C5A" wp14:editId="2CA3A7AC">
            <wp:extent cx="5486400" cy="2384385"/>
            <wp:effectExtent l="0" t="0" r="0" b="16510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F98E68B" w14:textId="3555D311" w:rsidR="00E953EB" w:rsidRDefault="00E953EB" w:rsidP="00C16C94">
      <w:pPr>
        <w:snapToGrid w:val="0"/>
        <w:spacing w:after="0" w:line="240" w:lineRule="auto"/>
        <w:jc w:val="both"/>
        <w:rPr>
          <w:rFonts w:ascii="Cambria" w:hAnsi="Cambria" w:cs="Times New Roman"/>
        </w:rPr>
      </w:pPr>
    </w:p>
    <w:p w14:paraId="388EF8A3" w14:textId="77777777" w:rsidR="00C87126" w:rsidRDefault="00C87126" w:rsidP="00C16C94">
      <w:pPr>
        <w:snapToGrid w:val="0"/>
        <w:spacing w:after="0" w:line="240" w:lineRule="auto"/>
        <w:jc w:val="both"/>
        <w:rPr>
          <w:rFonts w:ascii="Cambria" w:hAnsi="Cambria" w:cs="Times New Roman"/>
        </w:rPr>
      </w:pPr>
    </w:p>
    <w:p w14:paraId="17D13B37" w14:textId="77777777" w:rsidR="004A25EC" w:rsidRDefault="00895E8C" w:rsidP="00C16C94">
      <w:pPr>
        <w:snapToGrid w:val="0"/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La qualità, la ricerca della stagionalità e l’attenzione alla provenienza del prodotto si </w:t>
      </w:r>
      <w:r w:rsidR="004A25EC">
        <w:rPr>
          <w:rFonts w:ascii="Cambria" w:hAnsi="Cambria" w:cs="Times New Roman"/>
        </w:rPr>
        <w:t>confermano anche nel momento in cui è stato chiesto a</w:t>
      </w:r>
      <w:r w:rsidR="00FA2932">
        <w:rPr>
          <w:rFonts w:ascii="Cambria" w:hAnsi="Cambria" w:cs="Times New Roman"/>
        </w:rPr>
        <w:t>gli intervistati</w:t>
      </w:r>
      <w:r w:rsidR="004A25EC">
        <w:rPr>
          <w:rFonts w:ascii="Cambria" w:hAnsi="Cambria" w:cs="Times New Roman"/>
        </w:rPr>
        <w:t xml:space="preserve"> se </w:t>
      </w:r>
      <w:r w:rsidR="00271ECE">
        <w:rPr>
          <w:rFonts w:ascii="Cambria" w:hAnsi="Cambria" w:cs="Times New Roman"/>
        </w:rPr>
        <w:t>acquistassero</w:t>
      </w:r>
      <w:r w:rsidR="004A25EC">
        <w:rPr>
          <w:rFonts w:ascii="Cambria" w:hAnsi="Cambria" w:cs="Times New Roman"/>
        </w:rPr>
        <w:t xml:space="preserve"> prodotti km zero e con quale frequenza. </w:t>
      </w:r>
    </w:p>
    <w:p w14:paraId="50D96E5B" w14:textId="77777777" w:rsidR="004A25EC" w:rsidRDefault="004A25EC" w:rsidP="00C16C94">
      <w:pPr>
        <w:snapToGrid w:val="0"/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Il 51,5% dei veronesi intervistati </w:t>
      </w:r>
      <w:r w:rsidR="00271ECE">
        <w:rPr>
          <w:rFonts w:ascii="Cambria" w:hAnsi="Cambria" w:cs="Times New Roman"/>
        </w:rPr>
        <w:t>acquista questo tipo di prodotto quasi tutti i mesi (26,9%) o quasi tutte le settimane (24,6%). Due dati</w:t>
      </w:r>
      <w:r w:rsidR="00FA2932">
        <w:rPr>
          <w:rFonts w:ascii="Cambria" w:hAnsi="Cambria" w:cs="Times New Roman"/>
        </w:rPr>
        <w:t>, questi,</w:t>
      </w:r>
      <w:r w:rsidR="00271ECE">
        <w:rPr>
          <w:rFonts w:ascii="Cambria" w:hAnsi="Cambria" w:cs="Times New Roman"/>
        </w:rPr>
        <w:t xml:space="preserve"> che evidenziano un significativo incremento rispetto al 201</w:t>
      </w:r>
      <w:r w:rsidR="00512F2F">
        <w:rPr>
          <w:rFonts w:ascii="Cambria" w:hAnsi="Cambria" w:cs="Times New Roman"/>
        </w:rPr>
        <w:t>8</w:t>
      </w:r>
      <w:r w:rsidR="00271ECE">
        <w:rPr>
          <w:rFonts w:ascii="Cambria" w:hAnsi="Cambria" w:cs="Times New Roman"/>
        </w:rPr>
        <w:t>, quando</w:t>
      </w:r>
      <w:r w:rsidR="00ED2E17">
        <w:rPr>
          <w:rFonts w:ascii="Cambria" w:hAnsi="Cambria" w:cs="Times New Roman"/>
        </w:rPr>
        <w:t xml:space="preserve"> </w:t>
      </w:r>
      <w:r w:rsidR="001B22EB">
        <w:rPr>
          <w:rFonts w:ascii="Cambria" w:hAnsi="Cambria" w:cs="Times New Roman"/>
        </w:rPr>
        <w:t>le stesse frequenze</w:t>
      </w:r>
      <w:r w:rsidR="00ED2E17">
        <w:rPr>
          <w:rFonts w:ascii="Cambria" w:hAnsi="Cambria" w:cs="Times New Roman"/>
        </w:rPr>
        <w:t xml:space="preserve"> erano indicate dal 23,3% (quasi tutti i mesi) e dal </w:t>
      </w:r>
      <w:r w:rsidR="001B22EB">
        <w:rPr>
          <w:rFonts w:ascii="Cambria" w:hAnsi="Cambria" w:cs="Times New Roman"/>
        </w:rPr>
        <w:t>16,1% (quasi tutte le settimane)</w:t>
      </w:r>
      <w:r w:rsidR="008A5208">
        <w:rPr>
          <w:rFonts w:ascii="Cambria" w:hAnsi="Cambria" w:cs="Times New Roman"/>
        </w:rPr>
        <w:t xml:space="preserve"> degli intervistati</w:t>
      </w:r>
      <w:r w:rsidR="001B22EB">
        <w:rPr>
          <w:rFonts w:ascii="Cambria" w:hAnsi="Cambria" w:cs="Times New Roman"/>
        </w:rPr>
        <w:t>.</w:t>
      </w:r>
    </w:p>
    <w:p w14:paraId="406B7230" w14:textId="77777777" w:rsidR="001B22EB" w:rsidRDefault="001B22EB" w:rsidP="00C16C94">
      <w:pPr>
        <w:snapToGrid w:val="0"/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Scelta confermata anche dai dati registrati per la modalità “non acquisto prodotti km zero”, scelta nel corso dell’indagine del 20</w:t>
      </w:r>
      <w:r w:rsidR="008A5208">
        <w:rPr>
          <w:rFonts w:ascii="Cambria" w:hAnsi="Cambria" w:cs="Times New Roman"/>
        </w:rPr>
        <w:t>18</w:t>
      </w:r>
      <w:r>
        <w:rPr>
          <w:rFonts w:ascii="Cambria" w:hAnsi="Cambria" w:cs="Times New Roman"/>
        </w:rPr>
        <w:t xml:space="preserve"> dal </w:t>
      </w:r>
      <w:r w:rsidR="008A5208">
        <w:rPr>
          <w:rFonts w:ascii="Cambria" w:hAnsi="Cambria" w:cs="Times New Roman"/>
        </w:rPr>
        <w:t>47,3</w:t>
      </w:r>
      <w:r>
        <w:rPr>
          <w:rFonts w:ascii="Cambria" w:hAnsi="Cambria" w:cs="Times New Roman"/>
        </w:rPr>
        <w:t>%</w:t>
      </w:r>
      <w:r w:rsidR="008A5208">
        <w:rPr>
          <w:rFonts w:ascii="Cambria" w:hAnsi="Cambria" w:cs="Times New Roman"/>
        </w:rPr>
        <w:t xml:space="preserve">, drasticamente ridotta nel 2022 </w:t>
      </w:r>
      <w:r>
        <w:rPr>
          <w:rFonts w:ascii="Cambria" w:hAnsi="Cambria" w:cs="Times New Roman"/>
        </w:rPr>
        <w:t>(</w:t>
      </w:r>
      <w:r w:rsidR="00B9601C">
        <w:rPr>
          <w:rFonts w:ascii="Cambria" w:hAnsi="Cambria" w:cs="Times New Roman"/>
        </w:rPr>
        <w:t>29,2</w:t>
      </w:r>
      <w:r>
        <w:rPr>
          <w:rFonts w:ascii="Cambria" w:hAnsi="Cambria" w:cs="Times New Roman"/>
        </w:rPr>
        <w:t>%).</w:t>
      </w:r>
    </w:p>
    <w:p w14:paraId="7508646A" w14:textId="77777777" w:rsidR="001B22EB" w:rsidRDefault="00895E8C" w:rsidP="00C16C94">
      <w:pPr>
        <w:snapToGrid w:val="0"/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In ultima battuta, sempre in merito alle scelte di consumo alimentare, è stata posta attenzione all’uso del servizio di food delivery, che aveva avuto un forte incremento durante il periodo pandemico e l’attuazione delle restrizioni dovute al lockdown. </w:t>
      </w:r>
    </w:p>
    <w:p w14:paraId="5E013390" w14:textId="77777777" w:rsidR="00814FF1" w:rsidRDefault="00814FF1" w:rsidP="00C16C94">
      <w:pPr>
        <w:snapToGrid w:val="0"/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Come da scenario nazionale, anche nel territorio veronese si registra una decelerazione nell’uso del servizio di consegna di cibo a domicilio. Il 51% dei veronesi, infatti, ammette di non utilizzare più (14,4%) o di aver diminuito (36,6%) l’uso del servizio di food delivery. </w:t>
      </w:r>
    </w:p>
    <w:p w14:paraId="6F23FB4B" w14:textId="77777777" w:rsidR="006D728B" w:rsidRDefault="006D728B" w:rsidP="00C16C94">
      <w:pPr>
        <w:snapToGrid w:val="0"/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L’aumento nell’uso del servizio è da ricercare soprattutto tra i veronesi più giovani. Infatti, il 28,4% di coloro che hanno un’età compresa tra i 24 e 35 anni e il 26,3% tra coloro con età compresa tra 35 e 44 anni dichiara</w:t>
      </w:r>
      <w:r w:rsidR="008A5208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 xml:space="preserve">di usare e aver incremento il servizio di consegna </w:t>
      </w:r>
      <w:r w:rsidR="008A5208">
        <w:rPr>
          <w:rFonts w:ascii="Cambria" w:hAnsi="Cambria" w:cs="Times New Roman"/>
        </w:rPr>
        <w:t xml:space="preserve">di cibo </w:t>
      </w:r>
      <w:r>
        <w:rPr>
          <w:rFonts w:ascii="Cambria" w:hAnsi="Cambria" w:cs="Times New Roman"/>
        </w:rPr>
        <w:t>a domicilio.</w:t>
      </w:r>
    </w:p>
    <w:p w14:paraId="526C603C" w14:textId="77777777" w:rsidR="00570F34" w:rsidRPr="00CB430F" w:rsidRDefault="00FA2932" w:rsidP="00C16C94">
      <w:pPr>
        <w:snapToGrid w:val="0"/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Il fenomeno caratterizza soprattutto l’acquisto dei prodotti alimentari, poiché se si osserva l’utilizzo del web per gli acquisti in generale, la rete si </w:t>
      </w:r>
      <w:r w:rsidR="00D86811">
        <w:rPr>
          <w:rFonts w:ascii="Cambria" w:hAnsi="Cambria" w:cs="Times New Roman"/>
        </w:rPr>
        <w:t>conferma essere una modalità di acquisto in crescita. Il 31% degli intervistati sostiene</w:t>
      </w:r>
      <w:r>
        <w:rPr>
          <w:rFonts w:ascii="Cambria" w:hAnsi="Cambria" w:cs="Times New Roman"/>
        </w:rPr>
        <w:t>, infatti,</w:t>
      </w:r>
      <w:r w:rsidR="00D86811">
        <w:rPr>
          <w:rFonts w:ascii="Cambria" w:hAnsi="Cambria" w:cs="Times New Roman"/>
        </w:rPr>
        <w:t xml:space="preserve"> di avere aumentato negli ultimi mesi l’utilizzo della rete per i propri acquisti.</w:t>
      </w:r>
    </w:p>
    <w:sectPr w:rsidR="00570F34" w:rsidRPr="00CB430F" w:rsidSect="00C87126">
      <w:footerReference w:type="default" r:id="rId13"/>
      <w:pgSz w:w="11906" w:h="16838"/>
      <w:pgMar w:top="1418" w:right="1134" w:bottom="215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5AF01" w14:textId="77777777" w:rsidR="0047736D" w:rsidRDefault="0047736D" w:rsidP="00E953EB">
      <w:pPr>
        <w:spacing w:after="0" w:line="240" w:lineRule="auto"/>
      </w:pPr>
      <w:r>
        <w:separator/>
      </w:r>
    </w:p>
  </w:endnote>
  <w:endnote w:type="continuationSeparator" w:id="0">
    <w:p w14:paraId="221BB9FF" w14:textId="77777777" w:rsidR="0047736D" w:rsidRDefault="0047736D" w:rsidP="00E9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2482257"/>
      <w:docPartObj>
        <w:docPartGallery w:val="Page Numbers (Bottom of Page)"/>
        <w:docPartUnique/>
      </w:docPartObj>
    </w:sdtPr>
    <w:sdtEndPr>
      <w:rPr>
        <w:rFonts w:ascii="Cambria" w:hAnsi="Cambria"/>
        <w:sz w:val="18"/>
        <w:szCs w:val="18"/>
      </w:rPr>
    </w:sdtEndPr>
    <w:sdtContent>
      <w:p w14:paraId="703208A2" w14:textId="77777777" w:rsidR="00E953EB" w:rsidRPr="00E953EB" w:rsidRDefault="00E953EB">
        <w:pPr>
          <w:pStyle w:val="Pidipagina"/>
          <w:jc w:val="center"/>
          <w:rPr>
            <w:rFonts w:ascii="Cambria" w:hAnsi="Cambria"/>
            <w:sz w:val="18"/>
            <w:szCs w:val="18"/>
          </w:rPr>
        </w:pPr>
        <w:r w:rsidRPr="00E953EB">
          <w:rPr>
            <w:rFonts w:ascii="Cambria" w:hAnsi="Cambria"/>
            <w:sz w:val="18"/>
            <w:szCs w:val="18"/>
          </w:rPr>
          <w:fldChar w:fldCharType="begin"/>
        </w:r>
        <w:r w:rsidRPr="00E953EB">
          <w:rPr>
            <w:rFonts w:ascii="Cambria" w:hAnsi="Cambria"/>
            <w:sz w:val="18"/>
            <w:szCs w:val="18"/>
          </w:rPr>
          <w:instrText>PAGE   \* MERGEFORMAT</w:instrText>
        </w:r>
        <w:r w:rsidRPr="00E953EB">
          <w:rPr>
            <w:rFonts w:ascii="Cambria" w:hAnsi="Cambria"/>
            <w:sz w:val="18"/>
            <w:szCs w:val="18"/>
          </w:rPr>
          <w:fldChar w:fldCharType="separate"/>
        </w:r>
        <w:r w:rsidRPr="00E953EB">
          <w:rPr>
            <w:rFonts w:ascii="Cambria" w:hAnsi="Cambria"/>
            <w:sz w:val="18"/>
            <w:szCs w:val="18"/>
          </w:rPr>
          <w:t>2</w:t>
        </w:r>
        <w:r w:rsidRPr="00E953EB">
          <w:rPr>
            <w:rFonts w:ascii="Cambria" w:hAnsi="Cambria"/>
            <w:sz w:val="18"/>
            <w:szCs w:val="18"/>
          </w:rPr>
          <w:fldChar w:fldCharType="end"/>
        </w:r>
      </w:p>
    </w:sdtContent>
  </w:sdt>
  <w:p w14:paraId="4A822636" w14:textId="77777777" w:rsidR="00E953EB" w:rsidRDefault="00E953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94A80" w14:textId="77777777" w:rsidR="0047736D" w:rsidRDefault="0047736D" w:rsidP="00E953EB">
      <w:pPr>
        <w:spacing w:after="0" w:line="240" w:lineRule="auto"/>
      </w:pPr>
      <w:r>
        <w:separator/>
      </w:r>
    </w:p>
  </w:footnote>
  <w:footnote w:type="continuationSeparator" w:id="0">
    <w:p w14:paraId="5FE7185C" w14:textId="77777777" w:rsidR="0047736D" w:rsidRDefault="0047736D" w:rsidP="00E95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B3"/>
    <w:rsid w:val="00072CE6"/>
    <w:rsid w:val="00122374"/>
    <w:rsid w:val="0017020A"/>
    <w:rsid w:val="00197E53"/>
    <w:rsid w:val="001B22EB"/>
    <w:rsid w:val="001D7593"/>
    <w:rsid w:val="001E0A61"/>
    <w:rsid w:val="00257C34"/>
    <w:rsid w:val="002643B4"/>
    <w:rsid w:val="00271ECE"/>
    <w:rsid w:val="00280F9C"/>
    <w:rsid w:val="00315A07"/>
    <w:rsid w:val="0034753A"/>
    <w:rsid w:val="00353D04"/>
    <w:rsid w:val="0040652F"/>
    <w:rsid w:val="00425C78"/>
    <w:rsid w:val="0047736D"/>
    <w:rsid w:val="00491F69"/>
    <w:rsid w:val="004A25EC"/>
    <w:rsid w:val="00512F2F"/>
    <w:rsid w:val="0051667A"/>
    <w:rsid w:val="00517C81"/>
    <w:rsid w:val="00570F34"/>
    <w:rsid w:val="005714ED"/>
    <w:rsid w:val="005C61FB"/>
    <w:rsid w:val="00623980"/>
    <w:rsid w:val="00633500"/>
    <w:rsid w:val="00677344"/>
    <w:rsid w:val="006D728B"/>
    <w:rsid w:val="00713F0E"/>
    <w:rsid w:val="00715727"/>
    <w:rsid w:val="0079272B"/>
    <w:rsid w:val="007B2868"/>
    <w:rsid w:val="007E3012"/>
    <w:rsid w:val="007F34CB"/>
    <w:rsid w:val="0081297B"/>
    <w:rsid w:val="00814FF1"/>
    <w:rsid w:val="0082121F"/>
    <w:rsid w:val="008517F6"/>
    <w:rsid w:val="00880175"/>
    <w:rsid w:val="008904F8"/>
    <w:rsid w:val="00895E8C"/>
    <w:rsid w:val="008A5208"/>
    <w:rsid w:val="008B479D"/>
    <w:rsid w:val="00A033A5"/>
    <w:rsid w:val="00A1185F"/>
    <w:rsid w:val="00A33496"/>
    <w:rsid w:val="00A732A6"/>
    <w:rsid w:val="00AF4EFA"/>
    <w:rsid w:val="00B45904"/>
    <w:rsid w:val="00B91373"/>
    <w:rsid w:val="00B92B51"/>
    <w:rsid w:val="00B9601C"/>
    <w:rsid w:val="00BB134C"/>
    <w:rsid w:val="00BB50A9"/>
    <w:rsid w:val="00C16C94"/>
    <w:rsid w:val="00C22985"/>
    <w:rsid w:val="00C4546C"/>
    <w:rsid w:val="00C87126"/>
    <w:rsid w:val="00CB430F"/>
    <w:rsid w:val="00D072B8"/>
    <w:rsid w:val="00D244D4"/>
    <w:rsid w:val="00D254B1"/>
    <w:rsid w:val="00D40927"/>
    <w:rsid w:val="00D8309D"/>
    <w:rsid w:val="00D86811"/>
    <w:rsid w:val="00E2124D"/>
    <w:rsid w:val="00E407BE"/>
    <w:rsid w:val="00E85C88"/>
    <w:rsid w:val="00E953EB"/>
    <w:rsid w:val="00EB5419"/>
    <w:rsid w:val="00ED2E17"/>
    <w:rsid w:val="00EF3726"/>
    <w:rsid w:val="00F14F1C"/>
    <w:rsid w:val="00F346B3"/>
    <w:rsid w:val="00F42CB5"/>
    <w:rsid w:val="00F467C1"/>
    <w:rsid w:val="00FA2932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0FF6"/>
  <w15:chartTrackingRefBased/>
  <w15:docId w15:val="{9ABCCD08-6F8A-4522-A077-5553CF11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W-Predefinito">
    <w:name w:val="WW-Predefinito"/>
    <w:rsid w:val="00C16C9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E953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53EB"/>
  </w:style>
  <w:style w:type="paragraph" w:styleId="Pidipagina">
    <w:name w:val="footer"/>
    <w:basedOn w:val="Normale"/>
    <w:link w:val="PidipaginaCarattere"/>
    <w:uiPriority w:val="99"/>
    <w:unhideWhenUsed/>
    <w:rsid w:val="00E953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53EB"/>
  </w:style>
  <w:style w:type="paragraph" w:customStyle="1" w:styleId="WW-Predefinito1">
    <w:name w:val="WW-Predefinito1"/>
    <w:rsid w:val="00E953EB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19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13F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13F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13F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3F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3F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AAA-Doc\Ricerche\Osservatorio%20consumi\Indagini%20su%20Verona-Veneto\Cartel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AAA-Doc\Ricerche\Osservatorio%20consumi\Indagini%20su%20Verona-Veneto\Cartel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AAA-Doc\Ricerche\Osservatorio%20consumi\Indagini%20su%20Verona-Veneto\Cartel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glio_di_lavoro_di_Microsoft_Excel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glio_di_lavoro_di_Microsoft_Excel1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'2022'!$D$108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0723860589812366E-2"/>
                  <c:y val="-9.4988126484189475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A08-4C1E-93A8-EEEF73768384}"/>
                </c:ext>
              </c:extLst>
            </c:dLbl>
            <c:dLbl>
              <c:idx val="1"/>
              <c:layout>
                <c:manualLayout>
                  <c:x val="-2.8596961572832886E-2"/>
                  <c:y val="1.26034463083418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A08-4C1E-93A8-EEEF73768384}"/>
                </c:ext>
              </c:extLst>
            </c:dLbl>
            <c:dLbl>
              <c:idx val="2"/>
              <c:layout>
                <c:manualLayout>
                  <c:x val="-7.1492403932082215E-3"/>
                  <c:y val="1.099162604674415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A08-4C1E-93A8-EEEF737683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it-I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'2022'!$C$109:$C$111</c:f>
              <c:strCache>
                <c:ptCount val="3"/>
                <c:pt idx="0">
                  <c:v>Basso</c:v>
                </c:pt>
                <c:pt idx="1">
                  <c:v>Medio </c:v>
                </c:pt>
                <c:pt idx="2">
                  <c:v>Alto</c:v>
                </c:pt>
              </c:strCache>
            </c:strRef>
          </c:cat>
          <c:val>
            <c:numRef>
              <c:f>'2022'!$D$109:$D$111</c:f>
              <c:numCache>
                <c:formatCode>0.0%</c:formatCode>
                <c:ptCount val="3"/>
                <c:pt idx="0">
                  <c:v>0.67100000000000004</c:v>
                </c:pt>
                <c:pt idx="1">
                  <c:v>0.216</c:v>
                </c:pt>
                <c:pt idx="2">
                  <c:v>0.113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A08-4C1E-93A8-EEEF73768384}"/>
            </c:ext>
          </c:extLst>
        </c:ser>
        <c:ser>
          <c:idx val="1"/>
          <c:order val="1"/>
          <c:tx>
            <c:strRef>
              <c:f>'2022'!$E$108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4298480786416443E-2"/>
                  <c:y val="1.26034245719285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A08-4C1E-93A8-EEEF73768384}"/>
                </c:ext>
              </c:extLst>
            </c:dLbl>
            <c:dLbl>
              <c:idx val="1"/>
              <c:layout>
                <c:manualLayout>
                  <c:x val="2.1447721179624599E-2"/>
                  <c:y val="2.53018372703412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A08-4C1E-93A8-EEEF73768384}"/>
                </c:ext>
              </c:extLst>
            </c:dLbl>
            <c:dLbl>
              <c:idx val="2"/>
              <c:layout>
                <c:manualLayout>
                  <c:x val="-1.3106789310133182E-16"/>
                  <c:y val="-6.444194475690654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A08-4C1E-93A8-EEEF737683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it-I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'2022'!$C$109:$C$111</c:f>
              <c:strCache>
                <c:ptCount val="3"/>
                <c:pt idx="0">
                  <c:v>Basso</c:v>
                </c:pt>
                <c:pt idx="1">
                  <c:v>Medio </c:v>
                </c:pt>
                <c:pt idx="2">
                  <c:v>Alto</c:v>
                </c:pt>
              </c:strCache>
            </c:strRef>
          </c:cat>
          <c:val>
            <c:numRef>
              <c:f>'2022'!$E$109:$E$111</c:f>
              <c:numCache>
                <c:formatCode>0.0%</c:formatCode>
                <c:ptCount val="3"/>
                <c:pt idx="0">
                  <c:v>0.55000000000000004</c:v>
                </c:pt>
                <c:pt idx="1">
                  <c:v>0.23400000000000001</c:v>
                </c:pt>
                <c:pt idx="2">
                  <c:v>0.216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A08-4C1E-93A8-EEEF7376838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81012368"/>
        <c:axId val="1680997808"/>
      </c:barChart>
      <c:catAx>
        <c:axId val="1681012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it-IT"/>
          </a:p>
        </c:txPr>
        <c:crossAx val="1680997808"/>
        <c:crosses val="autoZero"/>
        <c:auto val="1"/>
        <c:lblAlgn val="ctr"/>
        <c:lblOffset val="100"/>
        <c:noMultiLvlLbl val="0"/>
      </c:catAx>
      <c:valAx>
        <c:axId val="1680997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it-IT"/>
          </a:p>
        </c:txPr>
        <c:crossAx val="1681012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1331592689295036E-2"/>
          <c:y val="0.19432888597258677"/>
          <c:w val="0.88787045222480354"/>
          <c:h val="0.5965583989501311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1911438725063167E-17"/>
                  <c:y val="-4.69889180519105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78-44B0-87E1-4B57E572E898}"/>
                </c:ext>
              </c:extLst>
            </c:dLbl>
            <c:dLbl>
              <c:idx val="1"/>
              <c:layout>
                <c:manualLayout>
                  <c:x val="0"/>
                  <c:y val="-6.9262175561473035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78-44B0-87E1-4B57E572E898}"/>
                </c:ext>
              </c:extLst>
            </c:dLbl>
            <c:dLbl>
              <c:idx val="2"/>
              <c:layout>
                <c:manualLayout>
                  <c:x val="0"/>
                  <c:y val="1.844925634295712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478-44B0-87E1-4B57E572E898}"/>
                </c:ext>
              </c:extLst>
            </c:dLbl>
            <c:dLbl>
              <c:idx val="3"/>
              <c:layout>
                <c:manualLayout>
                  <c:x val="-3.4812880765883376E-3"/>
                  <c:y val="9.18999708369787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478-44B0-87E1-4B57E572E898}"/>
                </c:ext>
              </c:extLst>
            </c:dLbl>
            <c:dLbl>
              <c:idx val="4"/>
              <c:layout>
                <c:manualLayout>
                  <c:x val="-1.7406440382941816E-2"/>
                  <c:y val="9.189997083697786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478-44B0-87E1-4B57E572E898}"/>
                </c:ext>
              </c:extLst>
            </c:dLbl>
            <c:dLbl>
              <c:idx val="5"/>
              <c:layout>
                <c:manualLayout>
                  <c:x val="-6.9625761531766752E-3"/>
                  <c:y val="-4.698891805191102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478-44B0-87E1-4B57E572E8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'2022'!$B$88:$B$93</c:f>
              <c:strCache>
                <c:ptCount val="6"/>
                <c:pt idx="0">
                  <c:v>Banche</c:v>
                </c:pt>
                <c:pt idx="1">
                  <c:v>Societa' finanziarie</c:v>
                </c:pt>
                <c:pt idx="2">
                  <c:v>Parenti</c:v>
                </c:pt>
                <c:pt idx="3">
                  <c:v>Amici</c:v>
                </c:pt>
                <c:pt idx="4">
                  <c:v>Privati a tassi di usura</c:v>
                </c:pt>
                <c:pt idx="5">
                  <c:v>Altro</c:v>
                </c:pt>
              </c:strCache>
            </c:strRef>
          </c:cat>
          <c:val>
            <c:numRef>
              <c:f>'2022'!$C$88:$C$93</c:f>
              <c:numCache>
                <c:formatCode>0.0%</c:formatCode>
                <c:ptCount val="6"/>
                <c:pt idx="0">
                  <c:v>0.497</c:v>
                </c:pt>
                <c:pt idx="1">
                  <c:v>0.32500000000000001</c:v>
                </c:pt>
                <c:pt idx="2">
                  <c:v>0.57899999999999996</c:v>
                </c:pt>
                <c:pt idx="3">
                  <c:v>0.34100000000000003</c:v>
                </c:pt>
                <c:pt idx="4">
                  <c:v>0.13700000000000001</c:v>
                </c:pt>
                <c:pt idx="5">
                  <c:v>0.122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478-44B0-87E1-4B57E572E89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78052592"/>
        <c:axId val="1478040528"/>
      </c:barChart>
      <c:catAx>
        <c:axId val="1478052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it-IT"/>
          </a:p>
        </c:txPr>
        <c:crossAx val="1478040528"/>
        <c:crosses val="autoZero"/>
        <c:auto val="1"/>
        <c:lblAlgn val="ctr"/>
        <c:lblOffset val="100"/>
        <c:noMultiLvlLbl val="0"/>
      </c:catAx>
      <c:valAx>
        <c:axId val="1478040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it-IT"/>
          </a:p>
        </c:txPr>
        <c:crossAx val="1478052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8.3203328133125698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D05-4596-8FC6-6C2F9ABC9A42}"/>
                </c:ext>
              </c:extLst>
            </c:dLbl>
            <c:dLbl>
              <c:idx val="1"/>
              <c:layout>
                <c:manualLayout>
                  <c:x val="1.6640665626625101E-2"/>
                  <c:y val="-3.216726572922304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D05-4596-8FC6-6C2F9ABC9A42}"/>
                </c:ext>
              </c:extLst>
            </c:dLbl>
            <c:dLbl>
              <c:idx val="5"/>
              <c:layout>
                <c:manualLayout>
                  <c:x val="0"/>
                  <c:y val="-1.930035943753382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D05-4596-8FC6-6C2F9ABC9A42}"/>
                </c:ext>
              </c:extLst>
            </c:dLbl>
            <c:dLbl>
              <c:idx val="6"/>
              <c:layout>
                <c:manualLayout>
                  <c:x val="-1.248049921996887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D05-4596-8FC6-6C2F9ABC9A42}"/>
                </c:ext>
              </c:extLst>
            </c:dLbl>
            <c:dLbl>
              <c:idx val="7"/>
              <c:layout>
                <c:manualLayout>
                  <c:x val="4.1601664066561904E-3"/>
                  <c:y val="-1.93003594375338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D05-4596-8FC6-6C2F9ABC9A42}"/>
                </c:ext>
              </c:extLst>
            </c:dLbl>
            <c:dLbl>
              <c:idx val="8"/>
              <c:layout>
                <c:manualLayout>
                  <c:x val="0"/>
                  <c:y val="-6.433453145844609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D05-4596-8FC6-6C2F9ABC9A42}"/>
                </c:ext>
              </c:extLst>
            </c:dLbl>
            <c:dLbl>
              <c:idx val="9"/>
              <c:layout>
                <c:manualLayout>
                  <c:x val="2.080083203328057E-3"/>
                  <c:y val="-1.28669062916892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D05-4596-8FC6-6C2F9ABC9A42}"/>
                </c:ext>
              </c:extLst>
            </c:dLbl>
            <c:dLbl>
              <c:idx val="10"/>
              <c:layout>
                <c:manualLayout>
                  <c:x val="-2.0800832033282092E-3"/>
                  <c:y val="1.286690629168927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D05-4596-8FC6-6C2F9ABC9A42}"/>
                </c:ext>
              </c:extLst>
            </c:dLbl>
            <c:dLbl>
              <c:idx val="11"/>
              <c:layout>
                <c:manualLayout>
                  <c:x val="-2.0800832033281333E-3"/>
                  <c:y val="-2.251708601045613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D05-4596-8FC6-6C2F9ABC9A42}"/>
                </c:ext>
              </c:extLst>
            </c:dLbl>
            <c:dLbl>
              <c:idx val="13"/>
              <c:layout>
                <c:manualLayout>
                  <c:x val="-2.0800832033281333E-3"/>
                  <c:y val="-2.895053915630080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D05-4596-8FC6-6C2F9ABC9A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'2022'!$B$55:$B$70</c:f>
              <c:strCache>
                <c:ptCount val="16"/>
                <c:pt idx="0">
                  <c:v>Ritardato l'accensione del riscaldamento (ci copriamo maggiormente)</c:v>
                </c:pt>
                <c:pt idx="1">
                  <c:v>Abbassato di 1 o più gradi il termostato</c:v>
                </c:pt>
                <c:pt idx="2">
                  <c:v>Cambiato le lampadine con quelle a led</c:v>
                </c:pt>
                <c:pt idx="3">
                  <c:v>Utilizzo gli elettrodomestici nelle fasce orarie più convenienti</c:v>
                </c:pt>
                <c:pt idx="4">
                  <c:v>Stacchiamo la spina dei dispositivi elettronici</c:v>
                </c:pt>
                <c:pt idx="5">
                  <c:v>Ridotto l'utilizzo dell'automobile</c:v>
                </c:pt>
                <c:pt idx="6">
                  <c:v>Acquistato elettrodomestici classe superiore</c:v>
                </c:pt>
                <c:pt idx="7">
                  <c:v>Alzato la temperatura del frigorifero</c:v>
                </c:pt>
                <c:pt idx="8">
                  <c:v>Spostamenti con bici muscolare e coi mezzi pubblici</c:v>
                </c:pt>
                <c:pt idx="9">
                  <c:v>Cambiato il gestore di luce/gas</c:v>
                </c:pt>
                <c:pt idx="10">
                  <c:v>Acquistato una caldaia a risparmio energetico</c:v>
                </c:pt>
                <c:pt idx="11">
                  <c:v>Lavori di coibentazione della nostra abitazione</c:v>
                </c:pt>
                <c:pt idx="12">
                  <c:v>Cambiato il contratto con il gestore luce/gas</c:v>
                </c:pt>
                <c:pt idx="13">
                  <c:v>Installazione dell'impianto a energia solare effettuata/avviata</c:v>
                </c:pt>
                <c:pt idx="14">
                  <c:v>Spostamenti  con la bici o monopattino elettrici</c:v>
                </c:pt>
                <c:pt idx="15">
                  <c:v>Aderito ad una comunità di energia solare</c:v>
                </c:pt>
              </c:strCache>
            </c:strRef>
          </c:cat>
          <c:val>
            <c:numRef>
              <c:f>'2022'!$C$55:$C$70</c:f>
              <c:numCache>
                <c:formatCode>0.0%</c:formatCode>
                <c:ptCount val="16"/>
                <c:pt idx="0">
                  <c:v>0.89100000000000001</c:v>
                </c:pt>
                <c:pt idx="1">
                  <c:v>0.87</c:v>
                </c:pt>
                <c:pt idx="2">
                  <c:v>0.73299999999999998</c:v>
                </c:pt>
                <c:pt idx="3">
                  <c:v>0.67500000000000004</c:v>
                </c:pt>
                <c:pt idx="4">
                  <c:v>0.60599999999999998</c:v>
                </c:pt>
                <c:pt idx="5">
                  <c:v>0.35599999999999998</c:v>
                </c:pt>
                <c:pt idx="6">
                  <c:v>0.32</c:v>
                </c:pt>
                <c:pt idx="7">
                  <c:v>0.28100000000000003</c:v>
                </c:pt>
                <c:pt idx="8">
                  <c:v>0.26100000000000001</c:v>
                </c:pt>
                <c:pt idx="9">
                  <c:v>0.19800000000000001</c:v>
                </c:pt>
                <c:pt idx="10">
                  <c:v>0.19</c:v>
                </c:pt>
                <c:pt idx="11">
                  <c:v>0.17100000000000001</c:v>
                </c:pt>
                <c:pt idx="12">
                  <c:v>0.14399999999999999</c:v>
                </c:pt>
                <c:pt idx="13">
                  <c:v>0.13</c:v>
                </c:pt>
                <c:pt idx="14">
                  <c:v>0.124</c:v>
                </c:pt>
                <c:pt idx="15">
                  <c:v>6.6000000000000003E-2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D05-4596-8FC6-6C2F9ABC9A4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53983712"/>
        <c:axId val="1653981632"/>
      </c:barChart>
      <c:catAx>
        <c:axId val="1653983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it-IT"/>
          </a:p>
        </c:txPr>
        <c:crossAx val="1653981632"/>
        <c:crosses val="autoZero"/>
        <c:auto val="1"/>
        <c:lblAlgn val="ctr"/>
        <c:lblOffset val="100"/>
        <c:noMultiLvlLbl val="0"/>
      </c:catAx>
      <c:valAx>
        <c:axId val="1653981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it-IT"/>
          </a:p>
        </c:txPr>
        <c:crossAx val="1653983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132436570428697E-2"/>
          <c:y val="3.3480766138612436E-2"/>
          <c:w val="0.8884046004666083"/>
          <c:h val="0.661183094264999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1-4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0"/>
                  <c:y val="3.1880977683315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28C-4655-A98C-AED4C096100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Foglio1!$A$2:$A$8</c:f>
              <c:strCache>
                <c:ptCount val="7"/>
                <c:pt idx="0">
                  <c:v>vado più a caccia di offerte</c:v>
                </c:pt>
                <c:pt idx="1">
                  <c:v>presto più attenzione confrontando i prezzi</c:v>
                </c:pt>
                <c:pt idx="2">
                  <c:v>rinuncio a marche più costose</c:v>
                </c:pt>
                <c:pt idx="3">
                  <c:v>per alcuni prodotti accetto una quaità inferiore</c:v>
                </c:pt>
                <c:pt idx="4">
                  <c:v>ho ridotto le quantità dei prodotti acquistati</c:v>
                </c:pt>
                <c:pt idx="5">
                  <c:v>mi sono adattato a una qualità inferiore</c:v>
                </c:pt>
                <c:pt idx="6">
                  <c:v>ho cercato di eliminare/ridurre gli sprechi</c:v>
                </c:pt>
              </c:strCache>
            </c:strRef>
          </c:cat>
          <c:val>
            <c:numRef>
              <c:f>Foglio1!$B$2:$B$8</c:f>
              <c:numCache>
                <c:formatCode>0.0%</c:formatCode>
                <c:ptCount val="7"/>
                <c:pt idx="0">
                  <c:v>9.5000000000000001E-2</c:v>
                </c:pt>
                <c:pt idx="1">
                  <c:v>3.9E-2</c:v>
                </c:pt>
                <c:pt idx="2">
                  <c:v>0.184</c:v>
                </c:pt>
                <c:pt idx="3">
                  <c:v>0.14699999999999999</c:v>
                </c:pt>
                <c:pt idx="4">
                  <c:v>0.23899999999999999</c:v>
                </c:pt>
                <c:pt idx="5">
                  <c:v>0.33500000000000002</c:v>
                </c:pt>
                <c:pt idx="6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8C-4655-A98C-AED4C0961007}"/>
            </c:ext>
          </c:extLst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5-6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0"/>
                  <c:y val="5.30676027345678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28C-4655-A98C-AED4C0961007}"/>
                </c:ext>
              </c:extLst>
            </c:dLbl>
            <c:dLbl>
              <c:idx val="5"/>
              <c:layout>
                <c:manualLayout>
                  <c:x val="0"/>
                  <c:y val="3.1880977683315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28C-4655-A98C-AED4C096100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Foglio1!$A$2:$A$8</c:f>
              <c:strCache>
                <c:ptCount val="7"/>
                <c:pt idx="0">
                  <c:v>vado più a caccia di offerte</c:v>
                </c:pt>
                <c:pt idx="1">
                  <c:v>presto più attenzione confrontando i prezzi</c:v>
                </c:pt>
                <c:pt idx="2">
                  <c:v>rinuncio a marche più costose</c:v>
                </c:pt>
                <c:pt idx="3">
                  <c:v>per alcuni prodotti accetto una quaità inferiore</c:v>
                </c:pt>
                <c:pt idx="4">
                  <c:v>ho ridotto le quantità dei prodotti acquistati</c:v>
                </c:pt>
                <c:pt idx="5">
                  <c:v>mi sono adattato a una qualità inferiore</c:v>
                </c:pt>
                <c:pt idx="6">
                  <c:v>ho cercato di eliminare/ridurre gli sprechi</c:v>
                </c:pt>
              </c:strCache>
            </c:strRef>
          </c:cat>
          <c:val>
            <c:numRef>
              <c:f>Foglio1!$C$2:$C$8</c:f>
              <c:numCache>
                <c:formatCode>0.0%</c:formatCode>
                <c:ptCount val="7"/>
                <c:pt idx="0">
                  <c:v>0.20599999999999999</c:v>
                </c:pt>
                <c:pt idx="1">
                  <c:v>0.13400000000000001</c:v>
                </c:pt>
                <c:pt idx="2">
                  <c:v>0.24</c:v>
                </c:pt>
                <c:pt idx="3">
                  <c:v>0.23499999999999999</c:v>
                </c:pt>
                <c:pt idx="4">
                  <c:v>0.214</c:v>
                </c:pt>
                <c:pt idx="5">
                  <c:v>0.22600000000000001</c:v>
                </c:pt>
                <c:pt idx="6">
                  <c:v>0.126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8C-4655-A98C-AED4C0961007}"/>
            </c:ext>
          </c:extLst>
        </c:ser>
        <c:ser>
          <c:idx val="2"/>
          <c:order val="2"/>
          <c:tx>
            <c:strRef>
              <c:f>Foglio1!$D$1</c:f>
              <c:strCache>
                <c:ptCount val="1"/>
                <c:pt idx="0">
                  <c:v>7-10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Foglio1!$A$2:$A$8</c:f>
              <c:strCache>
                <c:ptCount val="7"/>
                <c:pt idx="0">
                  <c:v>vado più a caccia di offerte</c:v>
                </c:pt>
                <c:pt idx="1">
                  <c:v>presto più attenzione confrontando i prezzi</c:v>
                </c:pt>
                <c:pt idx="2">
                  <c:v>rinuncio a marche più costose</c:v>
                </c:pt>
                <c:pt idx="3">
                  <c:v>per alcuni prodotti accetto una quaità inferiore</c:v>
                </c:pt>
                <c:pt idx="4">
                  <c:v>ho ridotto le quantità dei prodotti acquistati</c:v>
                </c:pt>
                <c:pt idx="5">
                  <c:v>mi sono adattato a una qualità inferiore</c:v>
                </c:pt>
                <c:pt idx="6">
                  <c:v>ho cercato di eliminare/ridurre gli sprechi</c:v>
                </c:pt>
              </c:strCache>
            </c:strRef>
          </c:cat>
          <c:val>
            <c:numRef>
              <c:f>Foglio1!$D$2:$D$8</c:f>
              <c:numCache>
                <c:formatCode>0.0%</c:formatCode>
                <c:ptCount val="7"/>
                <c:pt idx="0">
                  <c:v>0.69899999999999995</c:v>
                </c:pt>
                <c:pt idx="1">
                  <c:v>0.82699999999999996</c:v>
                </c:pt>
                <c:pt idx="2">
                  <c:v>0.57599999999999996</c:v>
                </c:pt>
                <c:pt idx="3">
                  <c:v>0.61799999999999999</c:v>
                </c:pt>
                <c:pt idx="4">
                  <c:v>0.54700000000000004</c:v>
                </c:pt>
                <c:pt idx="5">
                  <c:v>0.439</c:v>
                </c:pt>
                <c:pt idx="6">
                  <c:v>0.84399999999999997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28C-4655-A98C-AED4C09610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01815696"/>
        <c:axId val="1001816528"/>
      </c:barChart>
      <c:catAx>
        <c:axId val="1001815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it-IT"/>
          </a:p>
        </c:txPr>
        <c:crossAx val="1001816528"/>
        <c:crosses val="autoZero"/>
        <c:auto val="1"/>
        <c:lblAlgn val="ctr"/>
        <c:lblOffset val="100"/>
        <c:noMultiLvlLbl val="0"/>
      </c:catAx>
      <c:valAx>
        <c:axId val="1001816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it-IT"/>
          </a:p>
        </c:txPr>
        <c:crossAx val="1001815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2450477544473608"/>
          <c:y val="0.91173518732285852"/>
          <c:w val="0.15626057159521725"/>
          <c:h val="8.608907885295197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mbria" panose="02040503050406030204" pitchFamily="18" charset="0"/>
              <a:ea typeface="Cambria" panose="02040503050406030204" pitchFamily="18" charset="0"/>
              <a:cs typeface="+mn-cs"/>
            </a:defRPr>
          </a:pPr>
          <a:endParaRPr lang="it-I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273512685914257E-2"/>
          <c:y val="3.1965903036760786E-2"/>
          <c:w val="0.88326352435112276"/>
          <c:h val="0.724276047806224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1-4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6.9444444444444441E-3"/>
                  <c:y val="2.6638252530633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BDC-4545-8B8B-D65C23940D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Foglio1!$A$2:$A$8</c:f>
              <c:strCache>
                <c:ptCount val="7"/>
                <c:pt idx="0">
                  <c:v>mangio più sano</c:v>
                </c:pt>
                <c:pt idx="1">
                  <c:v>ho ridotto/eliminato il consumo di carne</c:v>
                </c:pt>
                <c:pt idx="2">
                  <c:v>sto più attento a ciò che mangio</c:v>
                </c:pt>
                <c:pt idx="3">
                  <c:v>cucino più in casa</c:v>
                </c:pt>
                <c:pt idx="4">
                  <c:v>sto più attento al packaging del prodotto</c:v>
                </c:pt>
                <c:pt idx="5">
                  <c:v>cerco di acquistare più prodotti freschi</c:v>
                </c:pt>
                <c:pt idx="6">
                  <c:v>ho eliminato/ridotto gli sprechi</c:v>
                </c:pt>
              </c:strCache>
            </c:strRef>
          </c:cat>
          <c:val>
            <c:numRef>
              <c:f>Foglio1!$B$2:$B$8</c:f>
              <c:numCache>
                <c:formatCode>0.0%</c:formatCode>
                <c:ptCount val="7"/>
                <c:pt idx="0">
                  <c:v>8.6999999999999994E-2</c:v>
                </c:pt>
                <c:pt idx="1">
                  <c:v>0.23599999999999999</c:v>
                </c:pt>
                <c:pt idx="2">
                  <c:v>0.1</c:v>
                </c:pt>
                <c:pt idx="3">
                  <c:v>7.5999999999999998E-2</c:v>
                </c:pt>
                <c:pt idx="4">
                  <c:v>0.14599999999999999</c:v>
                </c:pt>
                <c:pt idx="5">
                  <c:v>6.4000000000000001E-2</c:v>
                </c:pt>
                <c:pt idx="6">
                  <c:v>5.3999999999999999E-2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DC-4545-8B8B-D65C23940D1C}"/>
            </c:ext>
          </c:extLst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5-6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Foglio1!$A$2:$A$8</c:f>
              <c:strCache>
                <c:ptCount val="7"/>
                <c:pt idx="0">
                  <c:v>mangio più sano</c:v>
                </c:pt>
                <c:pt idx="1">
                  <c:v>ho ridotto/eliminato il consumo di carne</c:v>
                </c:pt>
                <c:pt idx="2">
                  <c:v>sto più attento a ciò che mangio</c:v>
                </c:pt>
                <c:pt idx="3">
                  <c:v>cucino più in casa</c:v>
                </c:pt>
                <c:pt idx="4">
                  <c:v>sto più attento al packaging del prodotto</c:v>
                </c:pt>
                <c:pt idx="5">
                  <c:v>cerco di acquistare più prodotti freschi</c:v>
                </c:pt>
                <c:pt idx="6">
                  <c:v>ho eliminato/ridotto gli sprechi</c:v>
                </c:pt>
              </c:strCache>
            </c:strRef>
          </c:cat>
          <c:val>
            <c:numRef>
              <c:f>Foglio1!$C$2:$C$8</c:f>
              <c:numCache>
                <c:formatCode>0.0%</c:formatCode>
                <c:ptCount val="7"/>
                <c:pt idx="0">
                  <c:v>0.27200000000000002</c:v>
                </c:pt>
                <c:pt idx="1">
                  <c:v>0.27700000000000002</c:v>
                </c:pt>
                <c:pt idx="2">
                  <c:v>0.221</c:v>
                </c:pt>
                <c:pt idx="3">
                  <c:v>0.224</c:v>
                </c:pt>
                <c:pt idx="4">
                  <c:v>0.253</c:v>
                </c:pt>
                <c:pt idx="5">
                  <c:v>0.20200000000000001</c:v>
                </c:pt>
                <c:pt idx="6">
                  <c:v>0.16400000000000001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DC-4545-8B8B-D65C23940D1C}"/>
            </c:ext>
          </c:extLst>
        </c:ser>
        <c:ser>
          <c:idx val="2"/>
          <c:order val="2"/>
          <c:tx>
            <c:strRef>
              <c:f>Foglio1!$D$1</c:f>
              <c:strCache>
                <c:ptCount val="1"/>
                <c:pt idx="0">
                  <c:v>7-10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Foglio1!$A$2:$A$8</c:f>
              <c:strCache>
                <c:ptCount val="7"/>
                <c:pt idx="0">
                  <c:v>mangio più sano</c:v>
                </c:pt>
                <c:pt idx="1">
                  <c:v>ho ridotto/eliminato il consumo di carne</c:v>
                </c:pt>
                <c:pt idx="2">
                  <c:v>sto più attento a ciò che mangio</c:v>
                </c:pt>
                <c:pt idx="3">
                  <c:v>cucino più in casa</c:v>
                </c:pt>
                <c:pt idx="4">
                  <c:v>sto più attento al packaging del prodotto</c:v>
                </c:pt>
                <c:pt idx="5">
                  <c:v>cerco di acquistare più prodotti freschi</c:v>
                </c:pt>
                <c:pt idx="6">
                  <c:v>ho eliminato/ridotto gli sprechi</c:v>
                </c:pt>
              </c:strCache>
            </c:strRef>
          </c:cat>
          <c:val>
            <c:numRef>
              <c:f>Foglio1!$D$2:$D$8</c:f>
              <c:numCache>
                <c:formatCode>0.0%</c:formatCode>
                <c:ptCount val="7"/>
                <c:pt idx="0">
                  <c:v>0.64100000000000001</c:v>
                </c:pt>
                <c:pt idx="1">
                  <c:v>0.48699999999999999</c:v>
                </c:pt>
                <c:pt idx="2">
                  <c:v>0.67900000000000005</c:v>
                </c:pt>
                <c:pt idx="3">
                  <c:v>0.7</c:v>
                </c:pt>
                <c:pt idx="4">
                  <c:v>0.60099999999999998</c:v>
                </c:pt>
                <c:pt idx="5">
                  <c:v>0.73399999999999999</c:v>
                </c:pt>
                <c:pt idx="6">
                  <c:v>0.78200000000000003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DC-4545-8B8B-D65C23940D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21638320"/>
        <c:axId val="1421638736"/>
      </c:barChart>
      <c:catAx>
        <c:axId val="1421638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it-IT"/>
          </a:p>
        </c:txPr>
        <c:crossAx val="1421638736"/>
        <c:crosses val="autoZero"/>
        <c:auto val="1"/>
        <c:lblAlgn val="ctr"/>
        <c:lblOffset val="100"/>
        <c:noMultiLvlLbl val="0"/>
      </c:catAx>
      <c:valAx>
        <c:axId val="1421638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it-IT"/>
          </a:p>
        </c:txPr>
        <c:crossAx val="1421638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mbria" panose="02040503050406030204" pitchFamily="18" charset="0"/>
              <a:ea typeface="Cambria" panose="02040503050406030204" pitchFamily="18" charset="0"/>
              <a:cs typeface="+mn-cs"/>
            </a:defRPr>
          </a:pPr>
          <a:endParaRPr lang="it-I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EE754-3A11-4CA3-B74A-B2A772AA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Elisa Innocenti</cp:lastModifiedBy>
  <cp:revision>6</cp:revision>
  <cp:lastPrinted>2023-01-09T14:18:00Z</cp:lastPrinted>
  <dcterms:created xsi:type="dcterms:W3CDTF">2023-01-09T14:18:00Z</dcterms:created>
  <dcterms:modified xsi:type="dcterms:W3CDTF">2023-01-12T08:36:00Z</dcterms:modified>
</cp:coreProperties>
</file>