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numbering+xml" PartName="/word/numbering.xml"/>
  <Override ContentType="application/vnd.openxmlformats-officedocument.wordprocessingml.commentsExtended+xml" PartName="/word/commentsExtended.xml"/>
  <Override ContentType="application/vnd.openxmlformats-officedocument.wordprocessingml.commentsIds+xml" PartName="/word/commentsIds.xml"/>
  <Override ContentType="application/vnd.openxmlformats-officedocument.wordprocessingml.commentsExtensible+xml" PartName="/word/commentsExtensi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Mode="Internal" Target="/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16se w16cid w16 w16cex w16sdtdh wp14">
  <w:body>
    <w:p>
      <w:pPr>
        <w:jc w:val="right"/>
        <w:rPr>
          <w:color w:val="000000"/>
          <w:rFonts w:ascii="Arial" w:hAnsi="Arial" w:eastAsia="Arial"/>
        </w:rPr>
      </w:pPr>
    </w:p>
    <w:p>
      <w:pPr>
        <w:jc w:val="right"/>
        <w:rPr>
          <w:color w:val="000000"/>
          <w:rFonts w:ascii="Arial" w:hAnsi="Arial" w:eastAsia="Arial"/>
        </w:rPr>
      </w:pPr>
      <w:r>
        <w:rPr>
          <w:color w:val="000000"/>
          <w:rFonts w:ascii="Arial" w:hAnsi="Arial" w:eastAsia="Arial"/>
          <w:sz w:val="22"/>
        </w:rPr>
        <w:t>124</w:t>
      </w:r>
      <w:r>
        <w:rPr>
          <w:color w:val="000000"/>
          <w:rFonts w:ascii="Arial" w:hAnsi="Arial" w:eastAsia="Arial"/>
          <w:sz w:val="22"/>
        </w:rPr>
        <w:t xml:space="preserve">a. 202</w:t>
      </w:r>
      <w:r>
        <w:rPr>
          <w:color w:val="000000"/>
          <w:rFonts w:ascii="Arial" w:hAnsi="Arial" w:eastAsia="Arial"/>
          <w:sz w:val="22"/>
        </w:rPr>
        <w:t>6</w:t>
      </w:r>
    </w:p>
    <w:p>
      <w:pPr>
        <w:jc w:val="right"/>
        <w:spacing w:line="360" w:lineRule="auto"/>
        <w:rPr>
          <w:color w:val="000000"/>
          <w:rFonts w:ascii="Arial" w:hAnsi="Arial" w:eastAsia="Arial"/>
        </w:rPr>
      </w:pPr>
      <w:r>
        <w:rPr>
          <w:color w:val="000000"/>
          <w:rFonts w:ascii="Arial" w:hAnsi="Arial" w:eastAsia="Arial"/>
          <w:sz w:val="22"/>
        </w:rPr>
        <w:t xml:space="preserve">Verona, </w:t>
      </w:r>
      <w:r>
        <w:rPr>
          <w:color w:val="000000"/>
          <w:rFonts w:ascii="Arial" w:hAnsi="Arial" w:eastAsia="Arial"/>
          <w:sz w:val="22"/>
        </w:rPr>
        <w:t>16</w:t>
      </w:r>
      <w:r>
        <w:rPr>
          <w:color w:val="000000"/>
          <w:rFonts w:ascii="Arial" w:hAnsi="Arial" w:eastAsia="Arial"/>
          <w:sz w:val="22"/>
        </w:rPr>
        <w:t>.</w:t>
      </w:r>
      <w:r>
        <w:rPr>
          <w:color w:val="000000"/>
          <w:rFonts w:ascii="Arial" w:hAnsi="Arial" w:eastAsia="Arial"/>
          <w:sz w:val="22"/>
        </w:rPr>
        <w:t>10</w:t>
      </w:r>
      <w:r>
        <w:rPr>
          <w:color w:val="000000"/>
          <w:rFonts w:ascii="Arial" w:hAnsi="Arial" w:eastAsia="Arial"/>
          <w:sz w:val="22"/>
        </w:rPr>
        <w:t>.2</w:t>
      </w:r>
      <w:r>
        <w:rPr>
          <w:color w:val="000000"/>
          <w:rFonts w:ascii="Arial" w:hAnsi="Arial" w:eastAsia="Arial"/>
          <w:sz w:val="22"/>
        </w:rPr>
        <w:t>6</w:t>
      </w:r>
    </w:p>
    <w:p>
      <w:pPr>
        <w:jc w:val="center"/>
        <w:rPr>
          <w:color w:val="000000"/>
          <w:rFonts w:ascii="Arial" w:hAnsi="Arial" w:eastAsia="Arial"/>
          <w:szCs w:val="28"/>
        </w:rPr>
      </w:pPr>
      <w:r>
        <w:rPr>
          <w:color w:val="000000"/>
          <w:rFonts w:ascii="Arial" w:hAnsi="Arial" w:eastAsia="Arial"/>
          <w:sz w:val="28"/>
          <w:szCs w:val="28"/>
        </w:rPr>
        <w:t xml:space="preserve">Comunicato stampa</w:t>
      </w:r>
    </w:p>
    <w:p>
      <w:pPr>
        <w:jc w:val="center"/>
        <w:pStyle w:val="2"/>
        <w:rPr>
          <w:b w:val="1"/>
          <w:color w:val="000000"/>
          <w:rFonts w:ascii="Arial" w:hAnsi="Arial"/>
          <w:szCs w:val="28"/>
        </w:rPr>
      </w:pPr>
      <w:r>
        <w:rPr>
          <w:b w:val="1"/>
          <w:color w:val="000000"/>
          <w:rFonts w:ascii="Arial" w:hAnsi="Arial"/>
          <w:sz w:val="28"/>
          <w:szCs w:val="28"/>
        </w:rPr>
        <w:t xml:space="preserve">Antidepressivi e rischio cardiovascolare</w:t>
      </w:r>
    </w:p>
    <w:p>
      <w:pPr>
        <w:jc w:val="center"/>
        <w:pStyle w:val="2"/>
        <w:rPr>
          <w:b w:val="1"/>
          <w:color w:val="000000"/>
          <w:rFonts w:ascii="Arial" w:hAnsi="Arial"/>
          <w:szCs w:val="28"/>
        </w:rPr>
      </w:pPr>
      <w:r>
        <w:rPr>
          <w:b w:val="1"/>
          <w:color w:val="000000"/>
          <w:rFonts w:ascii="Arial" w:hAnsi="Arial"/>
          <w:sz w:val="28"/>
          <w:szCs w:val="28"/>
        </w:rPr>
        <w:t xml:space="preserve"> studio internazionale conferma la sicurezza dei trattamenti</w:t>
      </w:r>
    </w:p>
    <w:p>
      <w:pPr>
        <w:pStyle w:val="3"/>
      </w:pPr>
      <w:r>
        <w:t xml:space="preserve">La ricerca, pubblicata sul </w:t>
      </w:r>
      <w:r>
        <w:rPr>
          <w:i w:val="1"/>
          <w:rStyle w:val="30"/>
        </w:rPr>
        <w:t xml:space="preserve">British Medical Journal</w:t>
      </w:r>
      <w:r>
        <w:t xml:space="preserve">, nasce da un’idea sviluppata all’Università di Verona nel 2010 e coinvolge il dipartimento di Medicina, la Cardiologia dell’Aoui e l’Università di Oxford</w:t>
      </w:r>
    </w:p>
    <w:p>
      <w:pPr>
        <w:pStyle w:val="25"/>
        <w:rPr>
          <w:color w:val="000000"/>
          <w:rFonts w:ascii="Arial" w:hAnsi="Arial"/>
        </w:rPr>
      </w:pPr>
      <w:r>
        <w:rPr>
          <w:color w:val="000000"/>
          <w:rFonts w:ascii="Arial" w:hAnsi="Arial"/>
          <w:rStyle w:val="31"/>
        </w:rPr>
        <w:t xml:space="preserve">Un’analisi internazionale conferma che gli antidepressivi, quando prescritti alle dosi raccomandate e in relazione al quadro clinico del paziente, non aumentano il rischio di aritmie gravi, eventi cardiovascolari o morte cardiaca.</w:t>
      </w:r>
    </w:p>
    <w:p>
      <w:pPr>
        <w:jc w:val="both"/>
        <w:pStyle w:val="25"/>
        <w:rPr>
          <w:color w:val="000000"/>
          <w:rFonts w:ascii="Arial" w:hAnsi="Arial"/>
        </w:rPr>
      </w:pPr>
      <w:r>
        <w:rPr>
          <w:color w:val="000000"/>
          <w:rFonts w:ascii="Arial" w:hAnsi="Arial"/>
        </w:rPr>
        <w:t xml:space="preserve">La ricerca, pubblicata a fine settembre sul </w:t>
      </w:r>
      <w:r>
        <w:rPr>
          <w:color w:val="000000"/>
          <w:rFonts w:ascii="Arial" w:hAnsi="Arial"/>
          <w:rStyle w:val="30"/>
        </w:rPr>
        <w:t xml:space="preserve">British Medical Journal</w:t>
      </w:r>
      <w:r>
        <w:rPr>
          <w:color w:val="000000"/>
          <w:rFonts w:ascii="Arial" w:hAnsi="Arial"/>
        </w:rPr>
        <w:t xml:space="preserve"> (Bmj), è nata da un’idea sviluppata all’Università di Verona nel 2010. Lo studio è il risultato della collaborazione tra il dipartimento di Medicina dell’Università di Verona, la Cardiologia dell’Azienda ospedalie</w:t>
      </w:r>
      <w:r>
        <w:rPr>
          <w:color w:val="000000"/>
          <w:rFonts w:ascii="Arial" w:hAnsi="Arial"/>
        </w:rPr>
        <w:t xml:space="preserve">ra universitaria integrata di Verona (Aoui), la Psichiatria del Warneford Hospital e l’Università di Oxford.</w:t>
      </w:r>
    </w:p>
    <w:p>
      <w:pPr>
        <w:jc w:val="both"/>
        <w:pStyle w:val="25"/>
        <w:rPr>
          <w:color w:val="000000"/>
          <w:rFonts w:ascii="Arial" w:hAnsi="Arial"/>
        </w:rPr>
      </w:pPr>
      <w:r>
        <w:rPr>
          <w:color w:val="000000"/>
          <w:rFonts w:ascii="Arial" w:hAnsi="Arial"/>
          <w:rStyle w:val="31"/>
        </w:rPr>
        <w:t xml:space="preserve">Il lavoro ha analizzato i dati individuali di 8.679 pazienti coinvolti in 35 studi e trattati con 10 diversi farmaci antidepressivi.</w:t>
      </w:r>
      <w:r>
        <w:rPr>
          <w:color w:val="000000"/>
          <w:rFonts w:ascii="Arial" w:hAnsi="Arial"/>
        </w:rPr>
        <w:t xml:space="preserve"> Per tutti i pazienti erano disponibili dati clinici completi sul rischio cardiovascolare e accurate misurazioni elettrocardiografiche.</w:t>
      </w:r>
    </w:p>
    <w:p>
      <w:pPr>
        <w:jc w:val="both"/>
        <w:pStyle w:val="25"/>
        <w:rPr>
          <w:color w:val="000000"/>
          <w:rFonts w:ascii="Arial" w:hAnsi="Arial"/>
        </w:rPr>
      </w:pPr>
      <w:r>
        <w:rPr>
          <w:color w:val="000000"/>
          <w:rFonts w:ascii="Arial" w:hAnsi="Arial"/>
        </w:rPr>
        <w:t xml:space="preserve">Alcuni farmaci, in particolare </w:t>
      </w:r>
      <w:r>
        <w:rPr>
          <w:color w:val="000000"/>
          <w:rFonts w:ascii="Arial" w:hAnsi="Arial"/>
          <w:rStyle w:val="31"/>
        </w:rPr>
        <w:t xml:space="preserve">l’amitriptilina e l’escitalopram, possono allungare il tratto QT dell’elettrocardiogramma</w:t>
      </w:r>
      <w:r>
        <w:rPr>
          <w:color w:val="000000"/>
          <w:rFonts w:ascii="Arial" w:hAnsi="Arial"/>
        </w:rPr>
        <w:t xml:space="preserve">. In alcuni con</w:t>
      </w:r>
      <w:r>
        <w:rPr>
          <w:color w:val="000000"/>
          <w:rFonts w:ascii="Arial" w:hAnsi="Arial"/>
        </w:rPr>
        <w:t xml:space="preserve">testi clinici, questa alterazione può essere associata all’insorgenza di aritmie cardiache gravi. Nella popolazione analizzata, tuttavia, queste aritmie non si sono verificate.</w:t>
      </w:r>
    </w:p>
    <w:p>
      <w:pPr>
        <w:jc w:val="both"/>
        <w:pStyle w:val="25"/>
        <w:rPr>
          <w:color w:val="000000"/>
          <w:rFonts w:ascii="Arial" w:hAnsi="Arial"/>
        </w:rPr>
      </w:pPr>
      <w:r>
        <w:rPr>
          <w:color w:val="000000"/>
          <w:rFonts w:ascii="Arial" w:hAnsi="Arial"/>
          <w:rStyle w:val="31"/>
        </w:rPr>
        <w:t xml:space="preserve">Un’ulteriore analisi, condotta su oltre 52.000 pazienti, ha escluso un aumento degli eventi cardiovascolari o delle morti cardiache</w:t>
      </w:r>
      <w:r>
        <w:rPr>
          <w:color w:val="000000"/>
          <w:rFonts w:ascii="Arial" w:hAnsi="Arial"/>
        </w:rPr>
        <w:t xml:space="preserve"> tra le persone trattate con questi farmaci rispetto a quelle che non li assumevano.</w:t>
      </w:r>
    </w:p>
    <w:p>
      <w:pPr>
        <w:jc w:val="both"/>
        <w:pStyle w:val="25"/>
        <w:rPr>
          <w:color w:val="000000"/>
          <w:rFonts w:ascii="Arial" w:hAnsi="Arial"/>
        </w:rPr>
      </w:pPr>
      <w:r>
        <w:rPr>
          <w:color w:val="000000"/>
          <w:rFonts w:ascii="Arial" w:hAnsi="Arial"/>
        </w:rPr>
        <w:t xml:space="preserve">“I risultati mostrano che </w:t>
      </w:r>
      <w:r>
        <w:rPr>
          <w:color w:val="000000"/>
          <w:rFonts w:ascii="Arial" w:hAnsi="Arial"/>
          <w:rStyle w:val="31"/>
        </w:rPr>
        <w:t xml:space="preserve">le alterazioni elettrocardiografiche provocate dagli antidepressivi, quando i farmaci vengono</w:t>
      </w:r>
      <w:r>
        <w:rPr>
          <w:color w:val="000000"/>
          <w:rFonts w:ascii="Arial" w:hAnsi="Arial"/>
          <w:rStyle w:val="31"/>
        </w:rPr>
        <w:t xml:space="preserve"> utilizzati alle dosi raccomandate, non si traducono in problemi cardiaci nella pratica clinica</w:t>
      </w:r>
      <w:r>
        <w:rPr>
          <w:color w:val="000000"/>
          <w:rFonts w:ascii="Arial" w:hAnsi="Arial"/>
        </w:rPr>
        <w:t xml:space="preserve">”, dichiara </w:t>
      </w:r>
      <w:r>
        <w:rPr>
          <w:b w:val="1"/>
          <w:color w:val="000000"/>
          <w:rFonts w:ascii="Arial" w:hAnsi="Arial"/>
        </w:rPr>
        <w:t xml:space="preserve">Flavio Luciano Ribichini</w:t>
      </w:r>
      <w:r>
        <w:rPr>
          <w:color w:val="000000"/>
          <w:rFonts w:ascii="Arial" w:hAnsi="Arial"/>
        </w:rPr>
        <w:t xml:space="preserve">, direttore della Scuola di specializzazione in Malattie dell’apparato cardiovascolare dell’Università di Verona e direttore della Clinica cardiologica dell’Aoui di Verona. “</w:t>
      </w:r>
      <w:r>
        <w:rPr>
          <w:color w:val="000000"/>
          <w:rFonts w:ascii="Arial" w:hAnsi="Arial"/>
          <w:rStyle w:val="31"/>
        </w:rPr>
        <w:t xml:space="preserve">La prescrizione risulta quindi sicura quando viene adeguata alle caratteristiche e al contesto clinico di ogni paziente</w:t>
      </w:r>
      <w:r>
        <w:rPr>
          <w:color w:val="000000"/>
          <w:rFonts w:ascii="Arial" w:hAnsi="Arial"/>
        </w:rPr>
        <w:t>”.</w:t>
      </w:r>
    </w:p>
    <w:p>
      <w:pPr>
        <w:jc w:val="both"/>
        <w:pStyle w:val="25"/>
        <w:rPr>
          <w:color w:val="000000"/>
          <w:rFonts w:ascii="Arial" w:hAnsi="Arial"/>
        </w:rPr>
      </w:pPr>
      <w:r>
        <w:rPr>
          <w:color w:val="000000"/>
          <w:rFonts w:ascii="Arial" w:hAnsi="Arial"/>
        </w:rPr>
        <w:t xml:space="preserve">L’idea dello studio è nata il 17 settembre 2010, durante un incontro nazionale organi</w:t>
      </w:r>
      <w:r>
        <w:rPr>
          <w:color w:val="000000"/>
          <w:rFonts w:ascii="Arial" w:hAnsi="Arial"/>
        </w:rPr>
        <w:t xml:space="preserve">zzato dalla Cattedra di Psichiatria dell’Università di Verona nella sede del Policlinico. Tra i temi discussi c’era il possibile rischio che i farmaci utilizzati per trattare la depressione e le psicosi potessero provocare aritmie cardiache gravi, anche potenzialmente fatali. L’osservazione clinica quotidiana aveva però portato Ribichini e Andrea Cipriani, allora ricercatore dell’Università di Verona, a mettere in dubbio l’esistenza di una correlazione diretta tra le alterazioni elettrocardiografiche e le a</w:t>
      </w:r>
      <w:r>
        <w:rPr>
          <w:color w:val="000000"/>
          <w:rFonts w:ascii="Arial" w:hAnsi="Arial"/>
        </w:rPr>
        <w:t xml:space="preserve">ritmie gravi. Da qui nacque il progetto per analizzare un ampio numero di pazienti e verificare il rapporto tra farmaci, modifiche dell’elettrocardiogramma ed eventi cardiaci.</w:t>
      </w:r>
    </w:p>
    <w:p>
      <w:pPr>
        <w:jc w:val="both"/>
        <w:pStyle w:val="25"/>
        <w:rPr>
          <w:color w:val="000000"/>
          <w:rFonts w:ascii="Arial" w:hAnsi="Arial"/>
        </w:rPr>
      </w:pPr>
      <w:r>
        <w:rPr>
          <w:color w:val="000000"/>
          <w:rFonts w:ascii="Arial" w:hAnsi="Arial"/>
        </w:rPr>
        <w:t xml:space="preserve">Negli anni successivi, Cipriani si è trasferito in Inghilterra e ha proseguito le proprie attività di ricerca sulla farmacologia degli antidepressivi e degli antipsicotici. La collaborazione tra la Cattedra di Psichiatria dell’Università di Oxford</w:t>
      </w:r>
      <w:r>
        <w:rPr>
          <w:color w:val="000000"/>
          <w:rFonts w:ascii="Arial" w:hAnsi="Arial"/>
        </w:rPr>
        <w:t xml:space="preserve"> </w:t>
      </w:r>
      <w:r>
        <w:rPr>
          <w:color w:val="000000"/>
          <w:rFonts w:ascii="Arial" w:hAnsi="Arial"/>
        </w:rPr>
        <w:t xml:space="preserve">e la Cardiologia di Verona ha permesso di integrare i dati clinici e gli elettrocardiogr</w:t>
      </w:r>
      <w:r>
        <w:rPr>
          <w:color w:val="000000"/>
          <w:rFonts w:ascii="Arial" w:hAnsi="Arial"/>
        </w:rPr>
        <w:t xml:space="preserve">ammi di decine di migliaia di pazienti, portando alla conclusione del progetto.</w:t>
      </w:r>
    </w:p>
    <w:p>
      <w:pPr>
        <w:jc w:val="both"/>
        <w:pStyle w:val="25"/>
        <w:rPr>
          <w:color w:val="000000"/>
          <w:rFonts w:ascii="Arial" w:hAnsi="Arial"/>
        </w:rPr>
      </w:pPr>
      <w:r>
        <w:rPr>
          <w:color w:val="000000"/>
          <w:rFonts w:ascii="Arial" w:hAnsi="Arial"/>
        </w:rPr>
        <w:t>“</w:t>
      </w:r>
      <w:r>
        <w:rPr>
          <w:color w:val="000000"/>
          <w:rFonts w:ascii="Arial" w:hAnsi="Arial"/>
          <w:rStyle w:val="31"/>
        </w:rPr>
        <w:t xml:space="preserve">Questa pubblicazione mette a disposizione della comunità scientifica dati che possono rassicurare i medici chiamati a prescrivere antidepressivi</w:t>
      </w:r>
      <w:r>
        <w:rPr>
          <w:color w:val="000000"/>
          <w:rFonts w:ascii="Arial" w:hAnsi="Arial"/>
        </w:rPr>
        <w:t xml:space="preserve"> - aggiunge Ribichini - Le anomalie elettrocardiografiche associate a questi farmaci non sembrano tradursi, alle dosi raccomandate, in conseguenze cliniche concrete. </w:t>
      </w:r>
      <w:r>
        <w:rPr>
          <w:color w:val="000000"/>
          <w:rFonts w:ascii="Arial" w:hAnsi="Arial"/>
          <w:rStyle w:val="31"/>
        </w:rPr>
        <w:t xml:space="preserve">Il lavoro è nato dall’osservazione clinica e dall’analisi delle evidenze, ma anche da una collaborazione costruita nel te</w:t>
      </w:r>
      <w:r>
        <w:rPr>
          <w:color w:val="000000"/>
          <w:rFonts w:ascii="Arial" w:hAnsi="Arial"/>
          <w:rStyle w:val="31"/>
        </w:rPr>
        <w:t xml:space="preserve">mpo e sostenuta dalla perseveranza dei ricercatori di Verona e di Oxford</w:t>
      </w:r>
      <w:r>
        <w:rPr>
          <w:color w:val="000000"/>
          <w:rFonts w:ascii="Arial" w:hAnsi="Arial"/>
        </w:rPr>
        <w:t>”</w:t>
      </w:r>
      <w:r>
        <w:rPr>
          <w:color w:val="000000"/>
          <w:rFonts w:ascii="Arial" w:hAnsi="Arial"/>
        </w:rPr>
        <w:t>.</w:t>
      </w:r>
    </w:p>
    <w:p>
      <w:pPr>
        <w:jc w:val="both"/>
        <w:tabs>
          <w:tab w:val="start" w:pos="5670" w:leader="none"/>
        </w:tabs>
        <w:rPr>
          <w:rFonts w:ascii="Arial" w:hAnsi="Arial"/>
        </w:rPr>
      </w:pPr>
    </w:p>
    <w:p>
      <w:pPr>
        <w:jc w:val="both"/>
        <w:tabs>
          <w:tab w:val="start" w:pos="5670" w:leader="none"/>
        </w:tabs>
        <w:rPr>
          <w:rFonts w:ascii="Arial" w:hAnsi="Arial"/>
        </w:rPr>
      </w:pPr>
      <w:r>
        <w:fldChar w:fldCharType="begin"/>
      </w:r>
      <w:r>
        <w:instrText> HYPERLINK "https://www.univr.it/it/univerona-news" </w:instrText>
      </w:r>
      <w:r>
        <w:fldChar w:fldCharType="separate"/>
      </w:r>
      <w:r>
        <w:rPr>
          <w:b w:val="1"/>
          <w:bdr w:val="nil" w:color="auto" w:sz="0" w:space="0" w:frame="1"/>
          <w:color w:val="00A19A"/>
          <w:rFonts w:ascii="Aptos" w:hAnsi="Aptos" w:eastAsia="Times New Roman"/>
          <w:rStyle w:val="26"/>
          <w:sz w:val="18"/>
          <w:szCs w:val="18"/>
          <w:u w:val="none"/>
        </w:rPr>
        <w:t xml:space="preserve">Ufficio Stampa </w:t>
      </w:r>
      <w:r>
        <w:rPr>
          <w:b w:val="1"/>
          <w:bdr w:val="nil" w:color="auto" w:sz="0" w:space="0" w:frame="1"/>
          <w:color w:val="00A19A"/>
          <w:rFonts w:ascii="Aptos" w:hAnsi="Aptos" w:eastAsia="Times New Roman"/>
          <w:rStyle w:val="26"/>
          <w:sz w:val="18"/>
          <w:szCs w:val="18"/>
          <w:u w:val="none"/>
        </w:rPr>
        <w:fldChar w:fldCharType="end"/>
      </w:r>
      <w:r>
        <w:rPr>
          <w:b w:val="1"/>
          <w:bdr w:val="nil" w:color="auto" w:sz="0" w:space="0" w:frame="1"/>
          <w:color w:val="00A19A"/>
          <w:rFonts w:ascii="Aptos" w:hAnsi="Aptos" w:eastAsia="Times New Roman"/>
          <w:sz w:val="18"/>
          <w:szCs w:val="18"/>
        </w:rPr>
        <w:t xml:space="preserve"> </w:t>
      </w:r>
    </w:p>
    <w:p>
      <w:pPr>
        <w:pStyle w:val="23"/>
        <w:rPr>
          <w:color w:val="343433"/>
          <w:rFonts w:ascii="Aptos" w:hAnsi="Aptos" w:eastAsia="Times New Roman"/>
          <w:szCs w:val="18"/>
        </w:rPr>
      </w:pPr>
      <w:r>
        <w:rPr>
          <w:bdr w:val="nil" w:color="auto" w:sz="0" w:space="0" w:frame="1"/>
          <w:color w:val="343433"/>
          <w:rFonts w:ascii="Aptos" w:hAnsi="Aptos" w:eastAsia="Times New Roman"/>
          <w:sz w:val="18"/>
          <w:szCs w:val="18"/>
        </w:rPr>
        <w:t xml:space="preserve">Roberta Dini </w:t>
      </w:r>
      <w:r>
        <w:rPr>
          <w:bdr w:val="nil" w:color="auto" w:sz="0" w:space="0" w:frame="1"/>
          <w:color w:val="343433"/>
          <w:rFonts w:ascii="Wingdings 2" w:hAnsi="Wingdings 2" w:eastAsia="Times New Roman"/>
          <w:sz w:val="18"/>
          <w:szCs w:val="18"/>
        </w:rPr>
        <w:t>'</w:t>
      </w:r>
      <w:r>
        <w:rPr>
          <w:bdr w:val="nil" w:color="auto" w:sz="0" w:space="0" w:frame="1"/>
          <w:color w:val="343433"/>
          <w:rFonts w:ascii="Aptos" w:hAnsi="Aptos" w:eastAsia="Times New Roman"/>
          <w:sz w:val="18"/>
          <w:szCs w:val="18"/>
        </w:rPr>
        <w:t xml:space="preserve"> 3</w:t>
      </w:r>
      <w:r>
        <w:rPr>
          <w:bdr w:val="nil" w:color="auto" w:sz="0" w:space="0" w:frame="1"/>
          <w:color w:val="343433"/>
          <w:rFonts w:ascii="Aptos" w:hAnsi="Aptos" w:eastAsia="Times New Roman"/>
          <w:sz w:val="18"/>
          <w:szCs w:val="18"/>
        </w:rPr>
        <w:t>29</w:t>
      </w:r>
      <w:r>
        <w:rPr>
          <w:bdr w:val="nil" w:color="auto" w:sz="0" w:space="0" w:frame="1"/>
          <w:color w:val="343433"/>
          <w:rFonts w:ascii="Aptos" w:hAnsi="Aptos" w:eastAsia="Times New Roman"/>
          <w:sz w:val="18"/>
          <w:szCs w:val="18"/>
        </w:rPr>
        <w:t xml:space="preserve"> </w:t>
      </w:r>
      <w:r>
        <w:rPr>
          <w:bdr w:val="nil" w:color="auto" w:sz="0" w:space="0" w:frame="1"/>
          <w:color w:val="343433"/>
          <w:rFonts w:ascii="Aptos" w:hAnsi="Aptos" w:eastAsia="Times New Roman"/>
          <w:sz w:val="18"/>
          <w:szCs w:val="18"/>
        </w:rPr>
        <w:t>897</w:t>
      </w:r>
      <w:r>
        <w:rPr>
          <w:bdr w:val="nil" w:color="auto" w:sz="0" w:space="0" w:frame="1"/>
          <w:color w:val="343433"/>
          <w:rFonts w:ascii="Aptos" w:hAnsi="Aptos" w:eastAsia="Times New Roman"/>
          <w:sz w:val="18"/>
          <w:szCs w:val="18"/>
        </w:rPr>
        <w:t xml:space="preserve"> </w:t>
      </w:r>
      <w:r>
        <w:rPr>
          <w:bdr w:val="nil" w:color="auto" w:sz="0" w:space="0" w:frame="1"/>
          <w:color w:val="343433"/>
          <w:rFonts w:ascii="Aptos" w:hAnsi="Aptos" w:eastAsia="Times New Roman"/>
          <w:sz w:val="18"/>
          <w:szCs w:val="18"/>
        </w:rPr>
        <w:t>57</w:t>
      </w:r>
      <w:r>
        <w:rPr>
          <w:bdr w:val="nil" w:color="auto" w:sz="0" w:space="0" w:frame="1"/>
          <w:color w:val="343433"/>
          <w:rFonts w:ascii="Aptos" w:hAnsi="Aptos" w:eastAsia="Times New Roman"/>
          <w:sz w:val="18"/>
          <w:szCs w:val="18"/>
        </w:rPr>
        <w:t xml:space="preserve"> </w:t>
      </w:r>
      <w:r>
        <w:rPr>
          <w:bdr w:val="nil" w:color="auto" w:sz="0" w:space="0" w:frame="1"/>
          <w:color w:val="343433"/>
          <w:rFonts w:ascii="Aptos" w:hAnsi="Aptos" w:eastAsia="Times New Roman"/>
          <w:sz w:val="18"/>
          <w:szCs w:val="18"/>
        </w:rPr>
        <w:t>58</w:t>
      </w:r>
      <w:r>
        <w:rPr>
          <w:bdr w:val="nil" w:color="auto" w:sz="0" w:space="0" w:frame="1"/>
          <w:color w:val="343433"/>
          <w:rFonts w:ascii="Aptos" w:hAnsi="Aptos" w:eastAsia="Times New Roman"/>
          <w:sz w:val="18"/>
          <w:szCs w:val="18"/>
        </w:rPr>
        <w:t xml:space="preserve"> </w:t>
      </w:r>
      <w:r>
        <w:rPr>
          <w:bdr w:val="nil" w:color="auto" w:sz="0" w:space="0" w:frame="1"/>
          <w:color w:val="00A19A"/>
          <w:rFonts w:ascii="Aptos" w:hAnsi="Aptos" w:eastAsia="Times New Roman"/>
          <w:sz w:val="18"/>
          <w:szCs w:val="18"/>
        </w:rPr>
        <w:t>|</w:t>
      </w:r>
      <w:r>
        <w:rPr>
          <w:bdr w:val="nil" w:color="auto" w:sz="0" w:space="0" w:frame="1"/>
          <w:color w:val="343433"/>
          <w:rFonts w:ascii="Aptos" w:hAnsi="Aptos" w:eastAsia="Times New Roman"/>
          <w:sz w:val="18"/>
          <w:szCs w:val="18"/>
        </w:rPr>
        <w:t xml:space="preserve"> </w:t>
      </w:r>
      <w:r>
        <w:rPr>
          <w:bdr w:val="nil" w:color="auto" w:sz="0" w:space="0" w:frame="1"/>
          <w:color w:val="343433"/>
          <w:rFonts w:ascii="Aptos" w:hAnsi="Aptos" w:eastAsia="Times New Roman"/>
          <w:sz w:val="18"/>
          <w:szCs w:val="18"/>
        </w:rPr>
        <w:t xml:space="preserve">Elisa Innocenti </w:t>
      </w:r>
      <w:r>
        <w:rPr>
          <w:bdr w:val="nil" w:color="auto" w:sz="0" w:space="0" w:frame="1"/>
          <w:color w:val="343433"/>
          <w:rFonts w:ascii="Wingdings 2" w:hAnsi="Wingdings 2" w:eastAsia="Times New Roman"/>
          <w:sz w:val="18"/>
          <w:szCs w:val="18"/>
        </w:rPr>
        <w:t>'</w:t>
      </w:r>
      <w:r>
        <w:rPr>
          <w:bdr w:val="nil" w:color="auto" w:sz="0" w:space="0" w:frame="1"/>
          <w:color w:val="343433"/>
          <w:rFonts w:ascii="Aptos" w:hAnsi="Aptos" w:eastAsia="Times New Roman"/>
          <w:sz w:val="18"/>
          <w:szCs w:val="18"/>
        </w:rPr>
        <w:t xml:space="preserve"> </w:t>
      </w:r>
      <w:r>
        <w:rPr>
          <w:bdr w:val="nil" w:color="auto" w:sz="0" w:space="0" w:frame="1"/>
          <w:color w:val="343433"/>
          <w:rFonts w:ascii="Aptos" w:hAnsi="Aptos" w:eastAsia="Times New Roman"/>
          <w:sz w:val="18"/>
          <w:szCs w:val="18"/>
        </w:rPr>
        <w:t>335</w:t>
      </w:r>
      <w:r>
        <w:rPr>
          <w:bdr w:val="nil" w:color="auto" w:sz="0" w:space="0" w:frame="1"/>
          <w:color w:val="343433"/>
          <w:rFonts w:ascii="Aptos" w:hAnsi="Aptos" w:eastAsia="Times New Roman"/>
          <w:sz w:val="18"/>
          <w:szCs w:val="18"/>
        </w:rPr>
        <w:t xml:space="preserve"> </w:t>
      </w:r>
      <w:r>
        <w:rPr>
          <w:bdr w:val="nil" w:color="auto" w:sz="0" w:space="0" w:frame="1"/>
          <w:color w:val="343433"/>
          <w:rFonts w:ascii="Aptos" w:hAnsi="Aptos" w:eastAsia="Times New Roman"/>
          <w:sz w:val="18"/>
          <w:szCs w:val="18"/>
        </w:rPr>
        <w:t>159</w:t>
      </w:r>
      <w:r>
        <w:rPr>
          <w:bdr w:val="nil" w:color="auto" w:sz="0" w:space="0" w:frame="1"/>
          <w:color w:val="343433"/>
          <w:rFonts w:ascii="Aptos" w:hAnsi="Aptos" w:eastAsia="Times New Roman"/>
          <w:sz w:val="18"/>
          <w:szCs w:val="18"/>
        </w:rPr>
        <w:t xml:space="preserve"> </w:t>
      </w:r>
      <w:r>
        <w:rPr>
          <w:bdr w:val="nil" w:color="auto" w:sz="0" w:space="0" w:frame="1"/>
          <w:color w:val="343433"/>
          <w:rFonts w:ascii="Aptos" w:hAnsi="Aptos" w:eastAsia="Times New Roman"/>
          <w:sz w:val="18"/>
          <w:szCs w:val="18"/>
        </w:rPr>
        <w:t>32</w:t>
      </w:r>
      <w:r>
        <w:rPr>
          <w:bdr w:val="nil" w:color="auto" w:sz="0" w:space="0" w:frame="1"/>
          <w:color w:val="343433"/>
          <w:rFonts w:ascii="Aptos" w:hAnsi="Aptos" w:eastAsia="Times New Roman"/>
          <w:sz w:val="18"/>
          <w:szCs w:val="18"/>
        </w:rPr>
        <w:t xml:space="preserve"> </w:t>
      </w:r>
      <w:r>
        <w:rPr>
          <w:bdr w:val="nil" w:color="auto" w:sz="0" w:space="0" w:frame="1"/>
          <w:color w:val="343433"/>
          <w:rFonts w:ascii="Aptos" w:hAnsi="Aptos" w:eastAsia="Times New Roman"/>
          <w:sz w:val="18"/>
          <w:szCs w:val="18"/>
        </w:rPr>
        <w:t>62</w:t>
      </w:r>
      <w:r>
        <w:rPr>
          <w:bdr w:val="nil" w:color="auto" w:sz="0" w:space="0" w:frame="1"/>
          <w:color w:val="343433"/>
          <w:rFonts w:ascii="Aptos" w:hAnsi="Aptos" w:eastAsia="Times New Roman"/>
          <w:sz w:val="18"/>
          <w:szCs w:val="18"/>
        </w:rPr>
        <w:t xml:space="preserve"> </w:t>
      </w:r>
      <w:r>
        <w:rPr>
          <w:bdr w:val="nil" w:color="auto" w:sz="0" w:space="0" w:frame="1"/>
          <w:color w:val="00A19A"/>
          <w:rFonts w:ascii="Aptos" w:hAnsi="Aptos" w:eastAsia="Times New Roman"/>
          <w:sz w:val="18"/>
          <w:szCs w:val="18"/>
        </w:rPr>
        <w:t>|</w:t>
      </w:r>
      <w:r>
        <w:rPr>
          <w:bdr w:val="nil" w:color="auto" w:sz="0" w:space="0" w:frame="1"/>
          <w:color w:val="343433"/>
          <w:rFonts w:ascii="Aptos" w:hAnsi="Aptos" w:eastAsia="Times New Roman"/>
          <w:sz w:val="18"/>
          <w:szCs w:val="18"/>
        </w:rPr>
        <w:t xml:space="preserve"> Sara Mauroner </w:t>
      </w:r>
      <w:r>
        <w:rPr>
          <w:bdr w:val="nil" w:color="auto" w:sz="0" w:space="0" w:frame="1"/>
          <w:color w:val="343433"/>
          <w:rFonts w:ascii="Wingdings 2" w:hAnsi="Wingdings 2" w:eastAsia="Times New Roman"/>
          <w:sz w:val="18"/>
          <w:szCs w:val="18"/>
        </w:rPr>
        <w:t>'</w:t>
      </w:r>
      <w:r>
        <w:rPr>
          <w:bdr w:val="nil" w:color="auto" w:sz="0" w:space="0" w:frame="1"/>
          <w:color w:val="343433"/>
          <w:rFonts w:ascii="Aptos" w:hAnsi="Aptos" w:eastAsia="Times New Roman"/>
          <w:sz w:val="18"/>
          <w:szCs w:val="18"/>
        </w:rPr>
        <w:t xml:space="preserve"> </w:t>
      </w:r>
      <w:r>
        <w:rPr>
          <w:bdr w:val="nil" w:color="auto" w:sz="0" w:space="0" w:frame="1"/>
          <w:color w:val="343433"/>
          <w:rFonts w:ascii="Aptos" w:hAnsi="Aptos" w:eastAsia="Times New Roman"/>
          <w:sz w:val="18"/>
          <w:szCs w:val="18"/>
        </w:rPr>
        <w:t>349</w:t>
      </w:r>
      <w:r>
        <w:rPr>
          <w:bdr w:val="nil" w:color="auto" w:sz="0" w:space="0" w:frame="1"/>
          <w:color w:val="343433"/>
          <w:rFonts w:ascii="Aptos" w:hAnsi="Aptos" w:eastAsia="Times New Roman"/>
          <w:sz w:val="18"/>
          <w:szCs w:val="18"/>
        </w:rPr>
        <w:t xml:space="preserve"> </w:t>
      </w:r>
      <w:r>
        <w:rPr>
          <w:bdr w:val="nil" w:color="auto" w:sz="0" w:space="0" w:frame="1"/>
          <w:color w:val="343433"/>
          <w:rFonts w:ascii="Aptos" w:hAnsi="Aptos" w:eastAsia="Times New Roman"/>
          <w:sz w:val="18"/>
          <w:szCs w:val="18"/>
        </w:rPr>
        <w:t>153</w:t>
      </w:r>
      <w:r>
        <w:rPr>
          <w:bdr w:val="nil" w:color="auto" w:sz="0" w:space="0" w:frame="1"/>
          <w:color w:val="343433"/>
          <w:rFonts w:ascii="Aptos" w:hAnsi="Aptos" w:eastAsia="Times New Roman"/>
          <w:sz w:val="18"/>
          <w:szCs w:val="18"/>
        </w:rPr>
        <w:t xml:space="preserve"> </w:t>
      </w:r>
      <w:r>
        <w:rPr>
          <w:bdr w:val="nil" w:color="auto" w:sz="0" w:space="0" w:frame="1"/>
          <w:color w:val="343433"/>
          <w:rFonts w:ascii="Aptos" w:hAnsi="Aptos" w:eastAsia="Times New Roman"/>
          <w:sz w:val="18"/>
          <w:szCs w:val="18"/>
        </w:rPr>
        <w:t>60</w:t>
      </w:r>
      <w:r>
        <w:rPr>
          <w:bdr w:val="nil" w:color="auto" w:sz="0" w:space="0" w:frame="1"/>
          <w:color w:val="343433"/>
          <w:rFonts w:ascii="Aptos" w:hAnsi="Aptos" w:eastAsia="Times New Roman"/>
          <w:sz w:val="18"/>
          <w:szCs w:val="18"/>
        </w:rPr>
        <w:t xml:space="preserve"> </w:t>
      </w:r>
      <w:r>
        <w:rPr>
          <w:bdr w:val="nil" w:color="auto" w:sz="0" w:space="0" w:frame="1"/>
          <w:color w:val="343433"/>
          <w:rFonts w:ascii="Aptos" w:hAnsi="Aptos" w:eastAsia="Times New Roman"/>
          <w:sz w:val="18"/>
          <w:szCs w:val="18"/>
        </w:rPr>
        <w:t>99</w:t>
      </w:r>
    </w:p>
    <w:p>
      <w:pPr>
        <w:pStyle w:val="23"/>
        <w:rPr>
          <w:color w:val="343433"/>
          <w:rFonts w:ascii="Aptos" w:hAnsi="Aptos" w:eastAsia="Times New Roman"/>
          <w:szCs w:val="18"/>
        </w:rPr>
      </w:pPr>
      <w:r>
        <w:rPr>
          <w:bdr w:val="nil" w:color="auto" w:sz="0" w:space="0" w:frame="1"/>
          <w:color w:val="343433"/>
          <w:rFonts w:ascii="Wingdings" w:hAnsi="Wingdings" w:eastAsia="Times New Roman"/>
          <w:sz w:val="18"/>
          <w:szCs w:val="18"/>
        </w:rPr>
        <w:t>*</w:t>
      </w:r>
      <w:r>
        <w:rPr>
          <w:bdr w:val="nil" w:color="auto" w:sz="0" w:space="0" w:frame="1"/>
          <w:color w:val="343433"/>
          <w:rFonts w:ascii="Aptos" w:hAnsi="Aptos" w:eastAsia="Times New Roman"/>
          <w:sz w:val="18"/>
          <w:szCs w:val="18"/>
        </w:rPr>
        <w:t xml:space="preserve"> </w:t>
      </w:r>
      <w:r>
        <w:fldChar w:fldCharType="begin"/>
      </w:r>
      <w:r>
        <w:instrText> HYPERLINK "mailto:ufficio.stampa@ateneo.univr.it" </w:instrText>
      </w:r>
      <w:r>
        <w:fldChar w:fldCharType="separate"/>
      </w:r>
      <w:r>
        <w:rPr>
          <w:bdr w:val="nil" w:color="auto" w:sz="0" w:space="0" w:frame="1"/>
          <w:color w:val="00A19A"/>
          <w:rFonts w:ascii="Aptos" w:hAnsi="Aptos" w:eastAsia="Times New Roman"/>
          <w:rStyle w:val="26"/>
          <w:sz w:val="18"/>
          <w:szCs w:val="18"/>
          <w:u w:val="none"/>
        </w:rPr>
        <w:t>ufficio.stampa@ateneo.univr.it</w:t>
      </w:r>
      <w:r>
        <w:rPr>
          <w:bdr w:val="nil" w:color="auto" w:sz="0" w:space="0" w:frame="1"/>
          <w:color w:val="00A19A"/>
          <w:rFonts w:ascii="Aptos" w:hAnsi="Aptos" w:eastAsia="Times New Roman"/>
          <w:rStyle w:val="26"/>
          <w:sz w:val="18"/>
          <w:szCs w:val="18"/>
          <w:u w:val="none"/>
        </w:rPr>
        <w:fldChar w:fldCharType="end"/>
      </w:r>
    </w:p>
    <w:p>
      <w:pPr>
        <w:pStyle w:val="23"/>
        <w:rPr>
          <w:color w:val="00A19A"/>
          <w:rFonts w:ascii="Aptos" w:hAnsi="Aptos"/>
          <w:szCs w:val="18"/>
        </w:rPr>
      </w:pPr>
      <w:r>
        <w:fldChar w:fldCharType="begin"/>
      </w:r>
      <w:r>
        <w:instrText> HYPERLINK "https://www.univr.it/it/organizzazione/valorizzazione-e-divulgazione-dei-saperi/" </w:instrText>
      </w:r>
      <w:r>
        <w:fldChar w:fldCharType="separate"/>
      </w:r>
      <w:r>
        <w:rPr>
          <w:bdr w:val="nil" w:color="auto" w:sz="0" w:space="0" w:frame="1"/>
          <w:color w:val="00A19A"/>
          <w:rFonts w:ascii="Aptos" w:hAnsi="Aptos" w:eastAsia="Times New Roman"/>
          <w:rStyle w:val="26"/>
          <w:sz w:val="18"/>
          <w:szCs w:val="18"/>
          <w:u w:val="none"/>
        </w:rPr>
        <w:t xml:space="preserve">VaDiS </w:t>
      </w:r>
      <w:r>
        <w:rPr>
          <w:bdr w:val="nil" w:color="auto" w:sz="0" w:space="0" w:frame="1"/>
          <w:color w:val="343433"/>
          <w:rFonts w:ascii="Aptos" w:hAnsi="Aptos" w:eastAsia="Times New Roman"/>
          <w:rStyle w:val="26"/>
          <w:sz w:val="18"/>
          <w:szCs w:val="18"/>
          <w:u w:val="none"/>
        </w:rPr>
        <w:t xml:space="preserve">| Area Valorizzazione e Divulgazione dei Saperi</w:t>
      </w:r>
      <w:r>
        <w:rPr>
          <w:bdr w:val="nil" w:color="auto" w:sz="0" w:space="0" w:frame="1"/>
          <w:color w:val="343433"/>
          <w:rFonts w:ascii="Aptos" w:hAnsi="Aptos" w:eastAsia="Times New Roman"/>
          <w:rStyle w:val="26"/>
          <w:sz w:val="18"/>
          <w:szCs w:val="18"/>
          <w:u w:val="none"/>
        </w:rPr>
        <w:fldChar w:fldCharType="end"/>
      </w:r>
    </w:p>
    <w:p>
      <w:pPr>
        <w:jc w:val="both"/>
        <w:spacing w:line="276" w:lineRule="auto"/>
        <w:rPr>
          <w:color w:val="000000"/>
          <w:rFonts w:ascii="Arial" w:hAnsi="Arial"/>
          <w:szCs w:val="24"/>
        </w:rPr>
      </w:pPr>
      <w:r>
        <w:drawing>
          <wp:anchor distT="0" distB="0" distL="114300" distR="114300" simplePos="0" relativeHeight="524290" behindDoc="0" locked="0" layoutInCell="0" allowOverlap="0">
            <wp:simplePos x="0" y="0"/>
            <wp:positionH relativeFrom="column">
              <wp:posOffset>4445</wp:posOffset>
            </wp:positionH>
            <wp:positionV relativeFrom="paragraph">
              <wp:posOffset>849630</wp:posOffset>
            </wp:positionV>
            <wp:extent cx="2569210" cy="104139"/>
            <wp:wrapNone/>
            <wp:docPr id="1" name="Rettangolo 11"/>
            <a:graphic xmlns:a="http://schemas.openxmlformats.org/drawingml/2006/main">
              <a:graphicData uri="http://schemas.microsoft.com/office/word/2010/wordprocessingShape">
                <wps:wsp>
                  <wps:cNvPr id="1" name="Rettangolo 11"/>
                  <wps:cNvSpPr/>
                  <wps:spPr bwMode="auto">
                    <a:xfrm>
                      <a:off x="0" y="0"/>
                      <a:ext cx="2569210" cy="104139"/>
                    </a:xfrm>
                    <a:prstGeom prst="rect"/>
                    <a:noFill/>
                  </wps:spPr>
                  <wps:bodyPr vert="horz" wrap="square" anchor="t"/>
                </wps:wsp>
              </a:graphicData>
            </a:graphic>
          </wp:anchor>
        </w:drawing>
      </w:r>
      <w:r>
        <w:drawing>
          <wp:anchor distT="0" distB="0" distL="114300" distR="114300" simplePos="0" relativeHeight="524289" behindDoc="0" locked="0" layoutInCell="0" allowOverlap="0">
            <wp:simplePos x="0" y="0"/>
            <wp:positionH relativeFrom="column">
              <wp:posOffset>154305</wp:posOffset>
            </wp:positionH>
            <wp:positionV relativeFrom="paragraph">
              <wp:posOffset>699135</wp:posOffset>
            </wp:positionV>
            <wp:extent cx="1567815" cy="138430"/>
            <wp:wrapNone/>
            <wp:docPr id="1" name="Rettangolo 9"/>
            <a:graphic xmlns:a="http://schemas.openxmlformats.org/drawingml/2006/main">
              <a:graphicData uri="http://schemas.microsoft.com/office/word/2010/wordprocessingShape">
                <wps:wsp>
                  <wps:cNvPr id="1" name="Rettangolo 9"/>
                  <wps:cNvSpPr/>
                  <wps:spPr bwMode="auto">
                    <a:xfrm>
                      <a:off x="0" y="0"/>
                      <a:ext cx="1567815" cy="138430"/>
                    </a:xfrm>
                    <a:prstGeom prst="rect"/>
                    <a:noFill/>
                  </wps:spPr>
                  <wps:bodyPr vert="horz" wrap="square" anchor="t"/>
                </wps:wsp>
              </a:graphicData>
            </a:graphic>
          </wp:anchor>
        </w:drawing>
      </w:r>
      <w:r>
        <w:drawing>
          <wp:anchor distT="0" distB="0" distL="114300" distR="114300" simplePos="0" relativeHeight="524288" behindDoc="0" locked="0" layoutInCell="0" allowOverlap="0">
            <wp:simplePos x="0" y="0"/>
            <wp:positionH relativeFrom="column">
              <wp:posOffset>-635</wp:posOffset>
            </wp:positionH>
            <wp:positionV relativeFrom="paragraph">
              <wp:posOffset>444500</wp:posOffset>
            </wp:positionV>
            <wp:extent cx="803910" cy="109855"/>
            <wp:wrapNone/>
            <wp:docPr id="1" name="Rettangolo 7"/>
            <a:graphic xmlns:a="http://schemas.openxmlformats.org/drawingml/2006/main">
              <a:graphicData uri="http://schemas.microsoft.com/office/word/2010/wordprocessingShape">
                <wps:wsp>
                  <wps:cNvPr id="1" name="Rettangolo 7"/>
                  <wps:cNvSpPr/>
                  <wps:spPr bwMode="auto">
                    <a:xfrm>
                      <a:off x="0" y="0"/>
                      <a:ext cx="803910" cy="109855"/>
                    </a:xfrm>
                    <a:prstGeom prst="rect"/>
                    <a:noFill/>
                  </wps:spPr>
                  <wps:bodyPr vert="horz" wrap="square" anchor="t"/>
                </wps:wsp>
              </a:graphicData>
            </a:graphic>
          </wp:anchor>
        </w:drawing>
      </w:r>
      <w:r>
        <w:drawing>
          <wp:anchor distT="0" distB="0" distL="114300" distR="114300" simplePos="0" relativeHeight="524291" behindDoc="0" locked="0" layoutInCell="0" allowOverlap="0">
            <wp:simplePos x="0" y="0"/>
            <wp:positionH relativeFrom="column">
              <wp:posOffset>-12700</wp:posOffset>
            </wp:positionH>
            <wp:positionV relativeFrom="paragraph">
              <wp:posOffset>3912235</wp:posOffset>
            </wp:positionV>
            <wp:extent cx="803910" cy="109855"/>
            <wp:wrapNone/>
            <wp:docPr id="1" name="Rettangolo 5"/>
            <a:graphic xmlns:a="http://schemas.openxmlformats.org/drawingml/2006/main">
              <a:graphicData uri="http://schemas.microsoft.com/office/word/2010/wordprocessingShape">
                <wps:wsp>
                  <wps:cNvPr id="1" name="Rettangolo 5"/>
                  <wps:cNvSpPr/>
                  <wps:spPr bwMode="auto">
                    <a:xfrm>
                      <a:off x="0" y="0"/>
                      <a:ext cx="803910" cy="109855"/>
                    </a:xfrm>
                    <a:prstGeom prst="rect"/>
                    <a:noFill/>
                  </wps:spPr>
                  <wps:bodyPr vert="horz" wrap="square" anchor="t"/>
                </wps:wsp>
              </a:graphicData>
            </a:graphic>
          </wp:anchor>
        </w:drawing>
      </w:r>
      <w:r>
        <w:drawing>
          <wp:anchor distT="0" distB="0" distL="114300" distR="114300" simplePos="0" relativeHeight="524292" behindDoc="0" locked="0" layoutInCell="0" allowOverlap="0">
            <wp:simplePos x="0" y="0"/>
            <wp:positionH relativeFrom="column">
              <wp:posOffset>142240</wp:posOffset>
            </wp:positionH>
            <wp:positionV relativeFrom="paragraph">
              <wp:posOffset>4166870</wp:posOffset>
            </wp:positionV>
            <wp:extent cx="1567815" cy="138430"/>
            <wp:wrapNone/>
            <wp:docPr id="1" name="Rettangolo 3"/>
            <a:graphic xmlns:a="http://schemas.openxmlformats.org/drawingml/2006/main">
              <a:graphicData uri="http://schemas.microsoft.com/office/word/2010/wordprocessingShape">
                <wps:wsp>
                  <wps:cNvPr id="1" name="Rettangolo 3"/>
                  <wps:cNvSpPr/>
                  <wps:spPr bwMode="auto">
                    <a:xfrm>
                      <a:off x="0" y="0"/>
                      <a:ext cx="1567815" cy="138430"/>
                    </a:xfrm>
                    <a:prstGeom prst="rect"/>
                    <a:noFill/>
                  </wps:spPr>
                  <wps:bodyPr vert="horz" wrap="square" anchor="t"/>
                </wps:wsp>
              </a:graphicData>
            </a:graphic>
          </wp:anchor>
        </w:drawing>
      </w:r>
      <w:r>
        <w:drawing>
          <wp:anchor distT="0" distB="0" distL="114300" distR="114300" simplePos="0" relativeHeight="524293" behindDoc="0" locked="0" layoutInCell="0" allowOverlap="0">
            <wp:simplePos x="0" y="0"/>
            <wp:positionH relativeFrom="column">
              <wp:posOffset>-7620</wp:posOffset>
            </wp:positionH>
            <wp:positionV relativeFrom="paragraph">
              <wp:posOffset>4317365</wp:posOffset>
            </wp:positionV>
            <wp:extent cx="2569210" cy="104139"/>
            <wp:wrapNone/>
            <wp:docPr id="1" name="Rettangolo 1"/>
            <a:graphic xmlns:a="http://schemas.openxmlformats.org/drawingml/2006/main">
              <a:graphicData uri="http://schemas.microsoft.com/office/word/2010/wordprocessingShape">
                <wps:wsp>
                  <wps:cNvPr id="1" name="Rettangolo 1"/>
                  <wps:cNvSpPr/>
                  <wps:spPr bwMode="auto">
                    <a:xfrm>
                      <a:off x="0" y="0"/>
                      <a:ext cx="2569210" cy="104139"/>
                    </a:xfrm>
                    <a:prstGeom prst="rect"/>
                    <a:noFill/>
                  </wps:spPr>
                  <wps:bodyPr vert="horz" wrap="square" anchor="t"/>
                </wps:wsp>
              </a:graphicData>
            </a:graphic>
          </wp:anchor>
        </w:drawing>
      </w:r>
    </w:p>
    <w:sectPr>
      <w:headerReference r:id="rId2" w:type="default"/>
      <w:footerReference r:id="rId4" w:type="default"/>
      <w:cols w:space="708"/>
      <w:docGrid w:linePitch="360"/>
      <w:endnotePr>
        <w:numFmt w:val="decimal"/>
      </w:endnotePr>
      <w:pgMar w:top="2873" w:right="1410" w:bottom="1134" w:left="1134" w:header="1134" w:footer="851" w:gutter="0"/>
      <w:pgSz w:h="16840" w:w="1190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/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/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commentsIds.xml><?xml version="1.0" encoding="UTF-8" standalone="yes"?><w16cid:commentsIds></w16cid:commentsIds>
</file>

<file path=word/endnotes.xml><?xml version="1.0" encoding="utf-8"?>
<w:end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>
  <w:endnote w:type="separator" w:id="-1">
    <w:p>
      <w:pPr>
        <w:spacing w:after="0" w:line="240" w:lineRule="auto"/>
      </w:pPr>
    </w:p>
  </w:endnote>
  <w:endnote w:type="continuationSeparator" w:id="0">
    <w:p>
      <w:pPr>
        <w:spacing w:after="0" w:line="240" w:lineRule="auto"/>
      </w:pPr>
    </w:p>
  </w:endnote>
</w:endnote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>
  <w:p>
    <w:pPr>
      <w:pStyle w:val="23"/>
    </w:pP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>
  <w:footnote w:type="separator" w:id="-1">
    <w:p>
      <w:pPr>
        <w:spacing w:after="0" w:line="240" w:lineRule="auto"/>
      </w:pPr>
    </w:p>
  </w:footnote>
  <w:footnote w:type="continuationSeparator" w:id="0">
    <w:p>
      <w:pPr>
        <w:spacing w:after="0" w:line="240" w:lineRule="auto"/>
      </w:pP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>
  <w:p>
    <w:pPr>
      <w:pStyle w:val="21"/>
    </w:pPr>
    <w:r>
      <w:drawing>
        <wp:anchor distT="0" distB="0" distL="114300" distR="114300" simplePos="0" relativeHeight="524288" behindDoc="0" locked="1" layoutInCell="0" allowOverlap="0">
          <wp:simplePos x="0" y="0"/>
          <wp:positionH relativeFrom="column">
            <wp:posOffset>5301615</wp:posOffset>
          </wp:positionH>
          <wp:positionV relativeFrom="paragraph">
            <wp:posOffset>208915</wp:posOffset>
          </wp:positionV>
          <wp:extent cx="2347595" cy="175895"/>
          <wp:wrapNone/>
          <wp:docPr id="1" name="Watermark"/>
          <a:graphic xmlns:a="http://schemas.openxmlformats.org/drawingml/2006/main">
            <a:graphicData uri="http://schemas.microsoft.com/office/word/2010/wordprocessingShape">
              <wps:wsp>
                <wps:cNvPr id="1" name="Watermark"/>
                <wps:cNvSpPr/>
                <wps:spPr bwMode="auto">
                  <a:xfrm>
                    <a:off x="0" y="0"/>
                    <a:ext cx="2347595" cy="175895"/>
                  </a:xfrm>
                  <a:custGeom>
                    <a:rect l="l" t="t" r="r" b="b"/>
                    <a:pathLst>
                      <a:path w="21600" h="21600">
                        <a:moveTo>
                          <a:pt x="0" y="0"/>
                        </a:moveTo>
                        <a:lnTo>
                          <a:pt x="0" y="21600"/>
                        </a:lnTo>
                        <a:lnTo>
                          <a:pt x="21600" y="21600"/>
                        </a:lnTo>
                        <a:lnTo>
                          <a:pt x="21600" y="0"/>
                        </a:lnTo>
                        <a:close/>
                      </a:path>
                    </a:pathLst>
                  </a:custGeom>
                  <a:noFill/>
                </wps:spPr>
                <wps:txbx>
                  <w:txbxContent>
                    <w:p>
                      <w:pPr>
                        <w:jc w:val="right"/>
                        <w:rPr>
                          <w:color w:val="343433"/>
                        </w:rPr>
                      </w:pPr>
                      <w:r>
                        <w:rPr>
                          <w:color w:val="343433"/>
                          <w:sz w:val="22"/>
                        </w:rPr>
                        <w:t xml:space="preserve">Ufficio stampa</w:t>
                      </w:r>
                    </w:p>
                  </w:txbxContent>
                </wps:txbx>
                <wps:bodyPr vert="horz" wrap="none" lIns="0" tIns="0" rIns="0" bIns="0" anchor="t" upright="1"/>
              </wps:wsp>
            </a:graphicData>
          </a:graphic>
        </wp:anchor>
      </w:drawing>
    </w:r>
    <w:r>
      <w:drawing>
        <wp:inline distT="0" distB="0" distL="114300" distR="114300">
          <wp:extent cx="2531198" cy="535762"/>
          <wp:docPr id="1" name="Watermark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termark"/>
                  <pic:cNvPicPr>
                    <a:picLocks noChangeAspect="1"/>
                  </pic:cNvPicPr>
                </pic:nvPicPr>
                <pic:blipFill xmlns:r="http://schemas.openxmlformats.org/officeDocument/2006/relationships" rotWithShape="1">
                  <a:blip cstate="print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531198" cy="535762"/>
                  </a:xfrm>
                  <a:custGeom>
                    <a:rect l="l" t="t" r="r" b="b"/>
                    <a:pathLst>
                      <a:path w="21600" h="21600">
                        <a:moveTo>
                          <a:pt x="-1" y="-1"/>
                        </a:moveTo>
                        <a:lnTo>
                          <a:pt x="-1" y="21600"/>
                        </a:lnTo>
                        <a:lnTo>
                          <a:pt x="21600" y="21600"/>
                        </a:lnTo>
                        <a:lnTo>
                          <a:pt x="21600" y="-1"/>
                        </a:lnTo>
                        <a:close/>
                      </a:path>
                    </a:pathLst>
                  </a:cu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>
  <w:abstractNum w:abstractNumId="0" w15:restartNumberingAfterBreak="0">
    <w:lvl w:ilvl="0">
      <w:start w:val="1"/>
      <w:numFmt w:val="bullet"/>
      <w:suff w:val="tab"/>
      <w:lvlText w:val=""/>
      <w:lvlJc w:val="left"/>
      <w:pPr>
        <w:ind w:hanging="360" w:left="2844"/>
      </w:pPr>
      <w:rPr>
        <w:rFonts w:hint="default" w:ascii="Wingdings" w:hAnsi="Wingdings"/>
      </w:rPr>
    </w:lvl>
    <w:lvl w:ilvl="1">
      <w:start w:val="1"/>
      <w:numFmt w:val="bullet"/>
      <w:suff w:val="tab"/>
      <w:lvlText w:val="o"/>
      <w:lvlJc w:val="left"/>
      <w:pPr>
        <w:ind w:hanging="360" w:left="3564"/>
      </w:pPr>
      <w:rPr>
        <w:rFonts w:hint="default" w:ascii="Courier New" w:hAnsi="Courier New"/>
      </w:rPr>
    </w:lvl>
    <w:lvl w:ilvl="2">
      <w:start w:val="1"/>
      <w:numFmt w:val="bullet"/>
      <w:suff w:val="tab"/>
      <w:lvlText w:val=""/>
      <w:lvlJc w:val="left"/>
      <w:pPr>
        <w:ind w:hanging="360" w:left="4284"/>
      </w:pPr>
      <w:rPr>
        <w:rFonts w:hint="default" w:ascii="Wingdings" w:hAnsi="Wingdings"/>
      </w:rPr>
    </w:lvl>
    <w:lvl w:ilvl="3">
      <w:start w:val="1"/>
      <w:numFmt w:val="bullet"/>
      <w:suff w:val="tab"/>
      <w:lvlText w:val=""/>
      <w:lvlJc w:val="left"/>
      <w:pPr>
        <w:ind w:hanging="360" w:left="5004"/>
      </w:pPr>
      <w:rPr>
        <w:rFonts w:hint="default" w:ascii="Wingdings" w:hAnsi="Wingdings"/>
      </w:rPr>
    </w:lvl>
    <w:lvl w:ilvl="4">
      <w:start w:val="1"/>
      <w:numFmt w:val="bullet"/>
      <w:suff w:val="tab"/>
      <w:lvlText w:val="o"/>
      <w:lvlJc w:val="left"/>
      <w:pPr>
        <w:ind w:hanging="360" w:left="5724"/>
      </w:pPr>
      <w:rPr>
        <w:rFonts w:hint="default" w:ascii="Courier New" w:hAnsi="Courier New"/>
      </w:rPr>
    </w:lvl>
    <w:lvl w:ilvl="5">
      <w:start w:val="1"/>
      <w:numFmt w:val="bullet"/>
      <w:suff w:val="tab"/>
      <w:lvlText w:val=""/>
      <w:lvlJc w:val="left"/>
      <w:pPr>
        <w:ind w:hanging="360" w:left="6444"/>
      </w:pPr>
      <w:rPr>
        <w:rFonts w:hint="default" w:ascii="Wingdings" w:hAnsi="Wingdings"/>
      </w:rPr>
    </w:lvl>
    <w:lvl w:ilvl="6">
      <w:start w:val="1"/>
      <w:numFmt w:val="bullet"/>
      <w:suff w:val="tab"/>
      <w:lvlText w:val=""/>
      <w:lvlJc w:val="left"/>
      <w:pPr>
        <w:ind w:hanging="360" w:left="7164"/>
      </w:pPr>
      <w:rPr>
        <w:rFonts w:hint="default" w:ascii="Wingdings" w:hAnsi="Wingdings"/>
      </w:rPr>
    </w:lvl>
    <w:lvl w:ilvl="7">
      <w:start w:val="1"/>
      <w:numFmt w:val="bullet"/>
      <w:suff w:val="tab"/>
      <w:lvlText w:val="o"/>
      <w:lvlJc w:val="left"/>
      <w:pPr>
        <w:ind w:hanging="360" w:left="7884"/>
      </w:pPr>
      <w:rPr>
        <w:rFonts w:hint="default" w:ascii="Courier New" w:hAnsi="Courier New"/>
      </w:rPr>
    </w:lvl>
    <w:lvl w:ilvl="8">
      <w:start w:val="1"/>
      <w:numFmt w:val="bullet"/>
      <w:suff w:val="tab"/>
      <w:lvlText w:val=""/>
      <w:lvlJc w:val="left"/>
      <w:pPr>
        <w:ind w:hanging="360" w:left="8604"/>
      </w:pPr>
      <w:rPr>
        <w:rFonts w:hint="default" w:ascii="Wingdings" w:hAnsi="Wingdings"/>
      </w:rPr>
    </w:lvl>
  </w:abstractNum>
  <w:abstractNum w:abstractNumId="1" w15:restartNumberingAfterBreak="0">
    <w:lvl w:ilvl="0">
      <w:start w:val="1"/>
      <w:numFmt w:val="bullet"/>
      <w:suff w:val="tab"/>
      <w:lvlText w:val=""/>
      <w:lvlJc w:val="left"/>
      <w:pPr>
        <w:ind w:hanging="360" w:left="720"/>
      </w:pPr>
      <w:rPr>
        <w:rFonts w:hint="default" w:ascii="Wingdings" w:hAnsi="Wingdings"/>
      </w:rPr>
    </w:lvl>
    <w:lvl w:ilvl="1">
      <w:start w:val="1"/>
      <w:numFmt w:val="bullet"/>
      <w:suff w:val="tab"/>
      <w:lvlText w:val="o"/>
      <w:lvlJc w:val="left"/>
      <w:pPr>
        <w:ind w:hanging="360" w:left="1440"/>
      </w:pPr>
      <w:rPr>
        <w:rFonts w:hint="default" w:ascii="Courier New" w:hAnsi="Courier New"/>
      </w:rPr>
    </w:lvl>
    <w:lvl w:ilvl="2">
      <w:start w:val="1"/>
      <w:numFmt w:val="bullet"/>
      <w:suff w:val="tab"/>
      <w:lvlText w:val=""/>
      <w:lvlJc w:val="left"/>
      <w:pPr>
        <w:ind w:hanging="360" w:left="2160"/>
      </w:pPr>
      <w:rPr>
        <w:rFonts w:hint="default" w:ascii="Wingdings" w:hAnsi="Wingdings"/>
      </w:rPr>
    </w:lvl>
    <w:lvl w:ilvl="3">
      <w:start w:val="1"/>
      <w:numFmt w:val="bullet"/>
      <w:suff w:val="tab"/>
      <w:lvlText w:val=""/>
      <w:lvlJc w:val="left"/>
      <w:pPr>
        <w:ind w:hanging="360" w:left="2880"/>
      </w:pPr>
      <w:rPr>
        <w:rFonts w:hint="default" w:ascii="Wingdings" w:hAnsi="Wingdings"/>
      </w:rPr>
    </w:lvl>
    <w:lvl w:ilvl="4">
      <w:start w:val="1"/>
      <w:numFmt w:val="bullet"/>
      <w:suff w:val="tab"/>
      <w:lvlText w:val="o"/>
      <w:lvlJc w:val="left"/>
      <w:pPr>
        <w:ind w:hanging="360" w:left="3600"/>
      </w:pPr>
      <w:rPr>
        <w:rFonts w:hint="default" w:ascii="Courier New" w:hAnsi="Courier New"/>
      </w:rPr>
    </w:lvl>
    <w:lvl w:ilvl="5">
      <w:start w:val="1"/>
      <w:numFmt w:val="bullet"/>
      <w:suff w:val="tab"/>
      <w:lvlText w:val=""/>
      <w:lvlJc w:val="left"/>
      <w:pPr>
        <w:ind w:hanging="360" w:left="4320"/>
      </w:pPr>
      <w:rPr>
        <w:rFonts w:hint="default" w:ascii="Wingdings" w:hAnsi="Wingdings"/>
      </w:rPr>
    </w:lvl>
    <w:lvl w:ilvl="6">
      <w:start w:val="1"/>
      <w:numFmt w:val="bullet"/>
      <w:suff w:val="tab"/>
      <w:lvlText w:val=""/>
      <w:lvlJc w:val="left"/>
      <w:pPr>
        <w:ind w:hanging="360" w:left="5040"/>
      </w:pPr>
      <w:rPr>
        <w:rFonts w:hint="default" w:ascii="Wingdings" w:hAnsi="Wingdings"/>
      </w:rPr>
    </w:lvl>
    <w:lvl w:ilvl="7">
      <w:start w:val="1"/>
      <w:numFmt w:val="bullet"/>
      <w:suff w:val="tab"/>
      <w:lvlText w:val="o"/>
      <w:lvlJc w:val="left"/>
      <w:pPr>
        <w:ind w:hanging="360" w:left="5760"/>
      </w:pPr>
      <w:rPr>
        <w:rFonts w:hint="default" w:ascii="Courier New" w:hAnsi="Courier New"/>
      </w:rPr>
    </w:lvl>
    <w:lvl w:ilvl="8">
      <w:start w:val="1"/>
      <w:numFmt w:val="bullet"/>
      <w:suff w:val="tab"/>
      <w:lvlText w:val=""/>
      <w:lvlJc w:val="left"/>
      <w:pPr>
        <w:ind w:hanging="360" w:left="6480"/>
      </w:pPr>
      <w:rPr>
        <w:rFonts w:hint="default" w:ascii="Wingdings" w:hAnsi="Wingdings"/>
      </w:rPr>
    </w:lvl>
  </w:abstractNum>
  <w:abstractNum w:abstractNumId="2" w15:restartNumberingAfterBreak="0">
    <w:lvl w:ilvl="0">
      <w:start w:val="1"/>
      <w:numFmt w:val="decimal"/>
      <w:suff w:val="tab"/>
      <w:lvlText w:val="%1."/>
      <w:lvlJc w:val="left"/>
      <w:pPr>
        <w:ind w:hanging="360" w:left="1440"/>
      </w:pPr>
    </w:lvl>
    <w:lvl w:ilvl="1">
      <w:start w:val="1"/>
      <w:numFmt w:val="lowerLetter"/>
      <w:suff w:val="tab"/>
      <w:lvlText w:val="%2."/>
      <w:lvlJc w:val="left"/>
      <w:pPr>
        <w:ind w:hanging="360" w:left="2160"/>
      </w:pPr>
    </w:lvl>
    <w:lvl w:ilvl="2">
      <w:start w:val="1"/>
      <w:numFmt w:val="lowerRoman"/>
      <w:suff w:val="tab"/>
      <w:lvlText w:val="%3."/>
      <w:lvlJc w:val="right"/>
      <w:pPr>
        <w:ind w:hanging="180" w:left="2880"/>
      </w:pPr>
    </w:lvl>
    <w:lvl w:ilvl="3">
      <w:start w:val="1"/>
      <w:numFmt w:val="decimal"/>
      <w:suff w:val="tab"/>
      <w:lvlText w:val="%4."/>
      <w:lvlJc w:val="left"/>
      <w:pPr>
        <w:ind w:hanging="360" w:left="3600"/>
      </w:pPr>
    </w:lvl>
    <w:lvl w:ilvl="4">
      <w:start w:val="1"/>
      <w:numFmt w:val="lowerLetter"/>
      <w:suff w:val="tab"/>
      <w:lvlText w:val="%5."/>
      <w:lvlJc w:val="left"/>
      <w:pPr>
        <w:ind w:hanging="360" w:left="4320"/>
      </w:pPr>
    </w:lvl>
    <w:lvl w:ilvl="5">
      <w:start w:val="1"/>
      <w:numFmt w:val="lowerRoman"/>
      <w:suff w:val="tab"/>
      <w:lvlText w:val="%6."/>
      <w:lvlJc w:val="right"/>
      <w:pPr>
        <w:ind w:hanging="180" w:left="5040"/>
      </w:pPr>
    </w:lvl>
    <w:lvl w:ilvl="6">
      <w:start w:val="1"/>
      <w:numFmt w:val="decimal"/>
      <w:suff w:val="tab"/>
      <w:lvlText w:val="%7."/>
      <w:lvlJc w:val="left"/>
      <w:pPr>
        <w:ind w:hanging="360" w:left="5760"/>
      </w:pPr>
    </w:lvl>
    <w:lvl w:ilvl="7">
      <w:start w:val="1"/>
      <w:numFmt w:val="lowerLetter"/>
      <w:suff w:val="tab"/>
      <w:lvlText w:val="%8."/>
      <w:lvlJc w:val="left"/>
      <w:pPr>
        <w:ind w:hanging="360" w:left="6480"/>
      </w:pPr>
    </w:lvl>
    <w:lvl w:ilvl="8">
      <w:start w:val="1"/>
      <w:numFmt w:val="lowerRoman"/>
      <w:suff w:val="tab"/>
      <w:lvlText w:val="%9."/>
      <w:lvlJc w:val="right"/>
      <w:pPr>
        <w:ind w:hanging="180" w:left="7200"/>
      </w:pPr>
    </w:lvl>
  </w:abstractNum>
  <w:abstractNum w:abstractNumId="3" w15:restartNumberingAfterBreak="0">
    <w:lvl w:ilvl="0">
      <w:start w:val="1"/>
      <w:numFmt w:val="bullet"/>
      <w:suff w:val="tab"/>
      <w:lvlText w:val=""/>
      <w:lvlJc w:val="left"/>
      <w:pPr>
        <w:ind w:hanging="360" w:left="1080"/>
      </w:pPr>
      <w:rPr>
        <w:rFonts w:hint="default" w:ascii="Wingdings" w:hAnsi="Wingdings"/>
      </w:rPr>
    </w:lvl>
    <w:lvl w:ilvl="1">
      <w:start w:val="1"/>
      <w:numFmt w:val="bullet"/>
      <w:suff w:val="tab"/>
      <w:lvlText w:val="o"/>
      <w:lvlJc w:val="left"/>
      <w:pPr>
        <w:ind w:hanging="360" w:left="1800"/>
      </w:pPr>
      <w:rPr>
        <w:rFonts w:hint="default" w:ascii="Courier New" w:hAnsi="Courier New"/>
      </w:rPr>
    </w:lvl>
    <w:lvl w:ilvl="2">
      <w:start w:val="1"/>
      <w:numFmt w:val="bullet"/>
      <w:suff w:val="tab"/>
      <w:lvlText w:val=""/>
      <w:lvlJc w:val="left"/>
      <w:pPr>
        <w:ind w:hanging="360" w:left="2520"/>
      </w:pPr>
      <w:rPr>
        <w:rFonts w:hint="default" w:ascii="Wingdings" w:hAnsi="Wingdings"/>
      </w:rPr>
    </w:lvl>
    <w:lvl w:ilvl="3">
      <w:start w:val="1"/>
      <w:numFmt w:val="bullet"/>
      <w:suff w:val="tab"/>
      <w:lvlText w:val=""/>
      <w:lvlJc w:val="left"/>
      <w:pPr>
        <w:ind w:hanging="360" w:left="3240"/>
      </w:pPr>
      <w:rPr>
        <w:rFonts w:hint="default" w:ascii="Wingdings" w:hAnsi="Wingdings"/>
      </w:rPr>
    </w:lvl>
    <w:lvl w:ilvl="4">
      <w:start w:val="1"/>
      <w:numFmt w:val="bullet"/>
      <w:suff w:val="tab"/>
      <w:lvlText w:val="o"/>
      <w:lvlJc w:val="left"/>
      <w:pPr>
        <w:ind w:hanging="360" w:left="3960"/>
      </w:pPr>
      <w:rPr>
        <w:rFonts w:hint="default" w:ascii="Courier New" w:hAnsi="Courier New"/>
      </w:rPr>
    </w:lvl>
    <w:lvl w:ilvl="5">
      <w:start w:val="1"/>
      <w:numFmt w:val="bullet"/>
      <w:suff w:val="tab"/>
      <w:lvlText w:val=""/>
      <w:lvlJc w:val="left"/>
      <w:pPr>
        <w:ind w:hanging="360" w:left="4680"/>
      </w:pPr>
      <w:rPr>
        <w:rFonts w:hint="default" w:ascii="Wingdings" w:hAnsi="Wingdings"/>
      </w:rPr>
    </w:lvl>
    <w:lvl w:ilvl="6">
      <w:start w:val="1"/>
      <w:numFmt w:val="bullet"/>
      <w:suff w:val="tab"/>
      <w:lvlText w:val=""/>
      <w:lvlJc w:val="left"/>
      <w:pPr>
        <w:ind w:hanging="360" w:left="5400"/>
      </w:pPr>
      <w:rPr>
        <w:rFonts w:hint="default" w:ascii="Wingdings" w:hAnsi="Wingdings"/>
      </w:rPr>
    </w:lvl>
    <w:lvl w:ilvl="7">
      <w:start w:val="1"/>
      <w:numFmt w:val="bullet"/>
      <w:suff w:val="tab"/>
      <w:lvlText w:val="o"/>
      <w:lvlJc w:val="left"/>
      <w:pPr>
        <w:ind w:hanging="360" w:left="6120"/>
      </w:pPr>
      <w:rPr>
        <w:rFonts w:hint="default" w:ascii="Courier New" w:hAnsi="Courier New"/>
      </w:rPr>
    </w:lvl>
    <w:lvl w:ilvl="8">
      <w:start w:val="1"/>
      <w:numFmt w:val="bullet"/>
      <w:suff w:val="tab"/>
      <w:lvlText w:val=""/>
      <w:lvlJc w:val="left"/>
      <w:pPr>
        <w:ind w:hanging="360" w:left="684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 xmlns:m="http://schemas.openxmlformats.org/officeDocument/2006/math" xmlns:v="urn:schemas-microsoft-com:vml">
  <w:defaultTabStop w:val="708"/>
  <w:displayHorizontalDrawingGridEvery w:val="1"/>
  <w:displayVerticalDrawingGridEvery w:val="1"/>
  <w:characterSpacingControl w:val="doNotCompress"/>
  <w:compat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CN" w:eastAsia="zh-CN" w:bidi="ar-S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<w:docDefaults>
    <w:rPrDefault>
      <w:rPr>
        <w:lang w:val="it-IT" w:eastAsia="zh-CN" w:bidi="ar-SA"/>
        <w:rFonts w:ascii="Calibri" w:hAnsi="Calibri" w:eastAsia="Calibri" w:cs="Times New Roman"/>
      </w:rPr>
    </w:rPrDefault>
    <w:pPrDefault>
      <w:pPr/>
    </w:pPrDefault>
  </w:docDefaults>
  <w:style w:type="paragraph" w:styleId="1" w:default="1">
    <w:name w:val="Normale"/>
    <w:next w:val="1"/>
    <w:link w:val="1"/>
    <w:uiPriority w:val="0"/>
    <w:qFormat w:val="1"/>
    <w:pPr>
      <w:spacing w:after="160" w:line="259" w:lineRule="auto"/>
    </w:pPr>
    <w:rPr>
      <w:color w:val="50637D"/>
      <w:rFonts w:ascii="Calibri Light" w:hAnsi="Calibri Light"/>
      <w:sz w:val="21"/>
      <w:szCs w:val="22"/>
    </w:rPr>
    <w:tblPr>
      <w:tblLayout w:type="fixed"/>
    </w:tblPr>
  </w:style>
  <w:style w:type="paragraph" w:styleId="2">
    <w:name w:val="Titolo 1"/>
    <w:basedOn w:val="1"/>
    <w:next w:val="1"/>
    <w:link w:val="19"/>
    <w:uiPriority w:val="9"/>
    <w:qFormat w:val="1"/>
    <w:pPr>
      <w:keepLines w:val="1"/>
      <w:keepNext w:val="1"/>
      <w:outlineLvl w:val="0"/>
      <w:spacing w:after="60" w:before="520"/>
    </w:pPr>
    <w:rPr>
      <w:rFonts w:ascii="Calibri" w:hAnsi="Calibri" w:eastAsia="Times New Roman"/>
      <w:sz w:val="44"/>
      <w:szCs w:val="32"/>
    </w:rPr>
    <w:tblPr>
      <w:tblLayout w:type="fixed"/>
    </w:tblPr>
  </w:style>
  <w:style w:type="paragraph" w:styleId="3">
    <w:name w:val="Titolo 2"/>
    <w:basedOn w:val="1"/>
    <w:next w:val="1"/>
    <w:link w:val="20"/>
    <w:uiPriority w:val="9"/>
    <w:unhideWhenUsed w:val="1"/>
    <w:qFormat w:val="1"/>
    <w:pPr>
      <w:jc w:val="center"/>
      <w:keepLines w:val="1"/>
      <w:keepNext w:val="1"/>
      <w:outlineLvl w:val="1"/>
      <w:spacing w:after="60" w:before="300"/>
    </w:pPr>
    <w:rPr>
      <w:b w:val="1"/>
      <w:color w:val="000000"/>
      <w:i w:val="1"/>
      <w:rFonts w:ascii="Arial" w:hAnsi="Arial" w:eastAsia="Times New Roman"/>
      <w:sz w:val="24"/>
      <w:szCs w:val="24"/>
    </w:rPr>
    <w:tblPr>
      <w:tblLayout w:type="fixed"/>
    </w:tblPr>
  </w:style>
  <w:style w:type="paragraph" w:styleId="5">
    <w:name w:val="Titolo 4"/>
    <w:basedOn w:val="1"/>
    <w:next w:val="1"/>
    <w:link w:val="16"/>
    <w:uiPriority w:val="9"/>
    <w:semiHidden w:val="1"/>
    <w:unhideWhenUsed w:val="1"/>
    <w:pPr>
      <w:keepLines w:val="1"/>
      <w:keepNext w:val="1"/>
      <w:outlineLvl w:val="3"/>
      <w:spacing w:after="40" w:before="240"/>
    </w:pPr>
    <w:rPr>
      <w:color w:val="44546A"/>
      <w:i w:val="0"/>
      <w:rFonts w:ascii="Calibri Light" w:hAnsi="Calibri Light" w:eastAsia="Times New Roman"/>
    </w:rPr>
    <w:tblPr>
      <w:tblLayout w:type="fixed"/>
    </w:tblPr>
  </w:style>
  <w:style w:type="character" w:styleId="11" w:default="1">
    <w:name w:val="Car. predefinito paragrafo"/>
    <w:next w:val="11"/>
    <w:link w:val="1"/>
    <w:uiPriority w:val="1"/>
    <w:unhideWhenUsed w:val="1"/>
    <w:tblPr>
      <w:tblLayout w:type="fixed"/>
    </w:tblPr>
  </w:style>
  <w:style w:type="table" w:styleId="12" w:default="1">
    <w:name w:val="Tabella normale"/>
    <w:next w:val="12"/>
    <w:link w:val="1"/>
    <w:uiPriority w:val="99"/>
    <w:semiHidden w:val="1"/>
    <w:unhideWhenUsed w:val="1"/>
    <w:tblPr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numbering" w:styleId="13" w:default="1">
    <w:name w:val="Nessun elenco"/>
    <w:next w:val="13"/>
    <w:link w:val="1"/>
    <w:uiPriority w:val="99"/>
    <w:semiHidden w:val="1"/>
    <w:unhideWhenUsed w:val="1"/>
    <w:tblPr>
      <w:tblLayout w:type="fixed"/>
    </w:tblPr>
  </w:style>
  <w:style w:type="character" w:styleId="16">
    <w:name w:val="Titolo 4 Carattere"/>
    <w:next w:val="16"/>
    <w:link w:val="5"/>
    <w:uiPriority w:val="9"/>
    <w:semiHidden w:val="1"/>
    <w:rPr>
      <w:color w:val="44546A"/>
      <w:i w:val="1"/>
      <w:rFonts w:ascii="Calibri Light" w:hAnsi="Calibri Light" w:eastAsia="Times New Roman"/>
    </w:rPr>
    <w:tblPr>
      <w:tblLayout w:type="fixed"/>
    </w:tblPr>
  </w:style>
  <w:style w:type="paragraph" w:styleId="17">
    <w:name w:val="Titolo"/>
    <w:basedOn w:val="1"/>
    <w:next w:val="17"/>
    <w:link w:val="18"/>
    <w:uiPriority w:val="1"/>
    <w:qFormat w:val="1"/>
    <w:pPr>
      <w:spacing w:after="900"/>
    </w:pPr>
    <w:rPr>
      <w:b w:val="1"/>
      <w:kern w:val="28"/>
      <w:rFonts w:ascii="Calibri" w:hAnsi="Calibri" w:eastAsia="Times New Roman"/>
      <w:sz w:val="56"/>
      <w:szCs w:val="56"/>
    </w:rPr>
    <w:tblPr>
      <w:tblLayout w:type="fixed"/>
    </w:tblPr>
  </w:style>
  <w:style w:type="character" w:styleId="18">
    <w:name w:val="Titolo Carattere"/>
    <w:next w:val="18"/>
    <w:link w:val="17"/>
    <w:uiPriority w:val="1"/>
    <w:rPr>
      <w:b w:val="1"/>
      <w:color w:val="50637D"/>
      <w:kern w:val="28"/>
      <w:rFonts w:ascii="Calibri" w:hAnsi="Calibri" w:eastAsia="Times New Roman"/>
      <w:sz w:val="56"/>
      <w:szCs w:val="56"/>
    </w:rPr>
    <w:tblPr>
      <w:tblLayout w:type="fixed"/>
    </w:tblPr>
  </w:style>
  <w:style w:type="character" w:styleId="19">
    <w:name w:val="Titolo 1 Carattere"/>
    <w:next w:val="19"/>
    <w:link w:val="2"/>
    <w:uiPriority w:val="9"/>
    <w:rPr>
      <w:color w:val="50637D"/>
      <w:rFonts w:ascii="Calibri" w:hAnsi="Calibri" w:eastAsia="Times New Roman"/>
      <w:sz w:val="44"/>
      <w:szCs w:val="32"/>
    </w:rPr>
    <w:tblPr>
      <w:tblLayout w:type="fixed"/>
    </w:tblPr>
  </w:style>
  <w:style w:type="character" w:styleId="20">
    <w:name w:val="Titolo 2 Carattere"/>
    <w:next w:val="20"/>
    <w:link w:val="3"/>
    <w:uiPriority w:val="9"/>
    <w:rPr>
      <w:b w:val="1"/>
      <w:color w:val="000000"/>
      <w:i w:val="1"/>
      <w:rFonts w:ascii="Arial" w:hAnsi="Arial" w:eastAsia="Times New Roman"/>
      <w:sz w:val="24"/>
      <w:szCs w:val="24"/>
    </w:rPr>
    <w:tblPr>
      <w:tblLayout w:type="fixed"/>
    </w:tblPr>
  </w:style>
  <w:style w:type="paragraph" w:styleId="21">
    <w:name w:val="Intestazione"/>
    <w:basedOn w:val="1"/>
    <w:next w:val="21"/>
    <w:link w:val="22"/>
    <w:uiPriority w:val="99"/>
    <w:unhideWhenUsed w:val="1"/>
    <w:pPr>
      <w:spacing w:after="0" w:line="240" w:lineRule="auto"/>
      <w:tabs>
        <w:tab w:val="center" w:pos="4819" w:leader="none"/>
        <w:tab w:val="end" w:pos="9638" w:leader="none"/>
      </w:tabs>
    </w:pPr>
    <w:tblPr>
      <w:tblLayout w:type="fixed"/>
    </w:tblPr>
  </w:style>
  <w:style w:type="character" w:styleId="22">
    <w:name w:val="Intestazione Carattere"/>
    <w:next w:val="22"/>
    <w:link w:val="21"/>
    <w:uiPriority w:val="99"/>
    <w:rPr>
      <w:color w:val="50637D"/>
      <w:kern w:val="0"/>
      <w:rFonts w:ascii="Calibri Light" w:hAnsi="Calibri Light"/>
      <w:sz w:val="21"/>
      <w:szCs w:val="22"/>
    </w:rPr>
    <w:tblPr>
      <w:tblLayout w:type="fixed"/>
    </w:tblPr>
  </w:style>
  <w:style w:type="paragraph" w:styleId="23">
    <w:name w:val="Piè di pagina"/>
    <w:basedOn w:val="1"/>
    <w:next w:val="23"/>
    <w:link w:val="24"/>
    <w:uiPriority w:val="99"/>
    <w:unhideWhenUsed w:val="1"/>
    <w:pPr>
      <w:spacing w:after="0" w:line="240" w:lineRule="auto"/>
      <w:tabs>
        <w:tab w:val="center" w:pos="4819" w:leader="none"/>
        <w:tab w:val="end" w:pos="9638" w:leader="none"/>
      </w:tabs>
    </w:pPr>
    <w:tblPr>
      <w:tblLayout w:type="fixed"/>
    </w:tblPr>
  </w:style>
  <w:style w:type="character" w:styleId="24">
    <w:name w:val="Piè di pagina Carattere"/>
    <w:next w:val="24"/>
    <w:link w:val="23"/>
    <w:uiPriority w:val="99"/>
    <w:rPr>
      <w:color w:val="50637D"/>
      <w:kern w:val="0"/>
      <w:rFonts w:ascii="Calibri Light" w:hAnsi="Calibri Light"/>
      <w:sz w:val="21"/>
      <w:szCs w:val="22"/>
    </w:rPr>
    <w:tblPr>
      <w:tblLayout w:type="fixed"/>
    </w:tblPr>
  </w:style>
  <w:style w:type="paragraph" w:styleId="25">
    <w:name w:val="Normale (Web)"/>
    <w:basedOn w:val="1"/>
    <w:next w:val="25"/>
    <w:link w:val="1"/>
    <w:uiPriority w:val="99"/>
    <w:unhideWhenUsed w:val="1"/>
    <w:pPr>
      <w:spacing w:after="100" w:afterAutospacing="1" w:before="100" w:beforeAutospacing="1" w:line="240" w:lineRule="auto"/>
    </w:pPr>
    <w:rPr>
      <w:rFonts w:ascii="Times New Roman" w:hAnsi="Times New Roman" w:eastAsia="Times New Roman"/>
      <w:sz w:val="24"/>
      <w:szCs w:val="24"/>
    </w:rPr>
    <w:tblPr>
      <w:tblLayout w:type="fixed"/>
    </w:tblPr>
  </w:style>
  <w:style w:type="character" w:styleId="26">
    <w:name w:val="Collegamento ipertestuale"/>
    <w:next w:val="26"/>
    <w:link w:val="1"/>
    <w:uiPriority w:val="99"/>
    <w:unhideWhenUsed w:val="1"/>
    <w:rPr>
      <w:color w:val="0000FF"/>
      <w:u w:val="single"/>
    </w:rPr>
    <w:tblPr>
      <w:tblLayout w:type="fixed"/>
    </w:tblPr>
  </w:style>
  <w:style w:type="character" w:styleId="27">
    <w:name w:val="Collegamento visitato"/>
    <w:next w:val="27"/>
    <w:link w:val="1"/>
    <w:uiPriority w:val="99"/>
    <w:semiHidden w:val="1"/>
    <w:unhideWhenUsed w:val="1"/>
    <w:rPr>
      <w:color w:val="954F72"/>
      <w:u w:val="single"/>
    </w:rPr>
    <w:tblPr>
      <w:tblLayout w:type="fixed"/>
    </w:tblPr>
  </w:style>
  <w:style w:type="character" w:styleId="28">
    <w:name w:val="Menzione non risolta"/>
    <w:next w:val="28"/>
    <w:link w:val="1"/>
    <w:uiPriority w:val="99"/>
    <w:semiHidden w:val="1"/>
    <w:unhideWhenUsed w:val="1"/>
    <w:rPr>
      <w:color w:val="605E5C"/>
      <w:shd w:val="clear" w:color="auto" w:fill="E1DFDD"/>
    </w:rPr>
    <w:tblPr>
      <w:tblLayout w:type="fixed"/>
    </w:tblPr>
  </w:style>
  <w:style w:type="paragraph" w:styleId="29">
    <w:name w:val="Paragrafo elenco"/>
    <w:basedOn w:val="1"/>
    <w:next w:val="29"/>
    <w:link w:val="1"/>
    <w:uiPriority w:val="34"/>
    <w:qFormat w:val="1"/>
    <w:pPr>
      <w:ind w:left="720"/>
    </w:pPr>
    <w:tblPr>
      <w:tblLayout w:type="fixed"/>
    </w:tblPr>
  </w:style>
  <w:style w:type="character" w:styleId="30">
    <w:name w:val="Enfasi (corsivo)"/>
    <w:next w:val="30"/>
    <w:link w:val="1"/>
    <w:uiPriority w:val="20"/>
    <w:qFormat w:val="1"/>
    <w:rPr>
      <w:i w:val="1"/>
    </w:rPr>
    <w:tblPr>
      <w:tblLayout w:type="fixed"/>
    </w:tblPr>
  </w:style>
  <w:style w:type="character" w:styleId="31">
    <w:name w:val="Enfasi (grassetto)"/>
    <w:next w:val="31"/>
    <w:link w:val="1"/>
    <w:uiPriority w:val="22"/>
    <w:qFormat w:val="1"/>
    <w:rPr>
      <w:b w:val="1"/>
    </w:rPr>
    <w:tblPr>
      <w:tblLayout w:type="fixed"/>
    </w:tblPr>
  </w:style>
</w:styles>
</file>

<file path=word/_rels/document.xml.rels><?xml version="1.0" encoding="UTF-8" standalone="yes"?><Relationships xmlns="http://schemas.openxmlformats.org/package/2006/relationships"><Relationship Id="rId13" Type="http://schemas.openxmlformats.org/officeDocument/2006/relationships/theme" TargetMode="Internal" Target="theme/theme1.xml"/><Relationship Id="rId1" Type="http://schemas.openxmlformats.org/officeDocument/2006/relationships/numbering" TargetMode="Internal" Target="numbering.xml"/><Relationship Id="rId6" Type="http://schemas.openxmlformats.org/officeDocument/2006/relationships/endnotes" TargetMode="Internal" Target="endnotes.xml"/><Relationship Id="rId7" Type="http://schemas.openxmlformats.org/officeDocument/2006/relationships/comments" TargetMode="Internal" Target="comments.xml"/><Relationship Id="rId3" Type="http://schemas.openxmlformats.org/officeDocument/2006/relationships/image" TargetMode="Internal" Target="media/image1.png"/><Relationship Id="rId8" Type="http://schemas.microsoft.com/office/2011/relationships/commentsExtended" TargetMode="Internal" Target="commentsExtended.xml"/><Relationship Id="rId11" Type="http://schemas.openxmlformats.org/officeDocument/2006/relationships/styles" TargetMode="Internal" Target="styles.xml"/><Relationship Id="rId2" Type="http://schemas.openxmlformats.org/officeDocument/2006/relationships/header" TargetMode="Internal" Target="header1.xml"/><Relationship Id="rId9" Type="http://schemas.microsoft.com/office/2016/09/relationships/commentsIds" TargetMode="Internal" Target="commentsIds.xml"/><Relationship Id="rId12" Type="http://schemas.openxmlformats.org/officeDocument/2006/relationships/settings" TargetMode="Internal" Target="settings.xml"/><Relationship Id="rId5" Type="http://schemas.openxmlformats.org/officeDocument/2006/relationships/footnotes" TargetMode="Internal" Target="footnotes.xml"/><Relationship Id="rId4" Type="http://schemas.openxmlformats.org/officeDocument/2006/relationships/footer" TargetMode="Internal" Target="footer1.xml"/><Relationship Id="rId10" Type="http://schemas.microsoft.com/office/2018/08/relationships/commentsExtensible" TargetMode="Internal" Target="commentsExtensible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Mode="Internal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