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76CB" w14:textId="6C50A657" w:rsidR="00F874B3" w:rsidRPr="00411B6A" w:rsidRDefault="00C91E31" w:rsidP="00F874B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 w:rsidR="00481241">
        <w:rPr>
          <w:rFonts w:ascii="Arial" w:eastAsia="Arial" w:hAnsi="Arial" w:cs="Arial"/>
          <w:sz w:val="20"/>
          <w:szCs w:val="20"/>
        </w:rPr>
        <w:t>4</w:t>
      </w:r>
      <w:r w:rsidR="00F874B3">
        <w:rPr>
          <w:rFonts w:ascii="Arial" w:eastAsia="Arial" w:hAnsi="Arial" w:cs="Arial"/>
          <w:sz w:val="20"/>
          <w:szCs w:val="20"/>
        </w:rPr>
        <w:t xml:space="preserve"> a.2022</w:t>
      </w:r>
    </w:p>
    <w:p w14:paraId="0E97F881" w14:textId="3BD56BA0" w:rsidR="00F874B3" w:rsidRPr="00FE657A" w:rsidRDefault="00F874B3" w:rsidP="00F874B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C91E31">
        <w:rPr>
          <w:rFonts w:ascii="Arial" w:eastAsia="Arial" w:hAnsi="Arial" w:cs="Arial"/>
          <w:sz w:val="21"/>
          <w:szCs w:val="21"/>
        </w:rPr>
        <w:t>1</w:t>
      </w:r>
      <w:r w:rsidR="00481241">
        <w:rPr>
          <w:rFonts w:ascii="Arial" w:eastAsia="Arial" w:hAnsi="Arial" w:cs="Arial"/>
          <w:sz w:val="21"/>
          <w:szCs w:val="21"/>
        </w:rPr>
        <w:t>3</w:t>
      </w:r>
      <w:r w:rsidR="00396E48">
        <w:rPr>
          <w:rFonts w:ascii="Arial" w:eastAsia="Arial" w:hAnsi="Arial" w:cs="Arial"/>
          <w:sz w:val="21"/>
          <w:szCs w:val="21"/>
        </w:rPr>
        <w:t xml:space="preserve"> ottobre</w:t>
      </w:r>
      <w:r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6F2CF916" w14:textId="77777777" w:rsidR="00F874B3" w:rsidRDefault="00F874B3" w:rsidP="00F874B3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2B5CB8BB" w14:textId="2C992100" w:rsidR="00F874B3" w:rsidRPr="006E744B" w:rsidRDefault="00481241" w:rsidP="00F874B3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Nota</w:t>
      </w:r>
      <w:r w:rsidR="00F874B3" w:rsidRPr="006E744B">
        <w:rPr>
          <w:rFonts w:ascii="Arial" w:eastAsia="Arial" w:hAnsi="Arial" w:cs="Arial"/>
          <w:b/>
          <w:bCs/>
        </w:rPr>
        <w:t xml:space="preserve"> stampa</w:t>
      </w:r>
    </w:p>
    <w:p w14:paraId="1F279B9A" w14:textId="77777777" w:rsidR="00F874B3" w:rsidRPr="006E744B" w:rsidRDefault="00F874B3" w:rsidP="00F874B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F4FBB64" w14:textId="77777777" w:rsidR="00830054" w:rsidRPr="00830054" w:rsidRDefault="00830054" w:rsidP="00830054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bookmarkStart w:id="0" w:name="_GoBack"/>
      <w:r w:rsidRPr="008300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L’università di Verona in risalita nella classifica mondiale del </w:t>
      </w:r>
      <w:r w:rsidRPr="008300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Times </w:t>
      </w:r>
      <w:proofErr w:type="spellStart"/>
      <w:r w:rsidRPr="008300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Higher</w:t>
      </w:r>
      <w:proofErr w:type="spellEnd"/>
      <w:r w:rsidRPr="008300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00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Education</w:t>
      </w:r>
      <w:bookmarkEnd w:id="0"/>
      <w:proofErr w:type="spellEnd"/>
    </w:p>
    <w:p w14:paraId="15DD1F93" w14:textId="2D075B05" w:rsidR="00481241" w:rsidRPr="006924D2" w:rsidRDefault="00830054" w:rsidP="00830054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300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03E91A92" w14:textId="01487262" w:rsidR="00481241" w:rsidRDefault="003471DA" w:rsidP="006F0B1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Confermato</w:t>
      </w:r>
      <w:r w:rsidR="006F0B1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il 14esimo posto tra le 51 università italiane</w:t>
      </w:r>
    </w:p>
    <w:p w14:paraId="3B991BF9" w14:textId="77777777" w:rsidR="006F0B1A" w:rsidRPr="00481241" w:rsidRDefault="006F0B1A" w:rsidP="00832F41">
      <w:pPr>
        <w:spacing w:line="276" w:lineRule="auto"/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</w:p>
    <w:p w14:paraId="66274B98" w14:textId="46DC5C25" w:rsidR="00832F41" w:rsidRPr="006924D2" w:rsidRDefault="00481241" w:rsidP="00832F4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924D2">
        <w:rPr>
          <w:rFonts w:ascii="Arial" w:hAnsi="Arial" w:cs="Arial"/>
          <w:b/>
          <w:bCs/>
          <w:color w:val="000000" w:themeColor="text1"/>
        </w:rPr>
        <w:t xml:space="preserve">Pubblicata il 12 ottobre la classifica per il 2023 del Times </w:t>
      </w:r>
      <w:proofErr w:type="spellStart"/>
      <w:r w:rsidRPr="006924D2">
        <w:rPr>
          <w:rFonts w:ascii="Arial" w:hAnsi="Arial" w:cs="Arial"/>
          <w:b/>
          <w:bCs/>
          <w:color w:val="000000" w:themeColor="text1"/>
        </w:rPr>
        <w:t>Higher</w:t>
      </w:r>
      <w:proofErr w:type="spellEnd"/>
      <w:r w:rsidRPr="006924D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24D2">
        <w:rPr>
          <w:rFonts w:ascii="Arial" w:hAnsi="Arial" w:cs="Arial"/>
          <w:b/>
          <w:bCs/>
          <w:color w:val="000000" w:themeColor="text1"/>
        </w:rPr>
        <w:t>Education</w:t>
      </w:r>
      <w:proofErr w:type="spellEnd"/>
      <w:r w:rsidRPr="006924D2">
        <w:rPr>
          <w:rFonts w:ascii="Arial" w:hAnsi="Arial" w:cs="Arial"/>
          <w:b/>
          <w:bCs/>
          <w:color w:val="000000" w:themeColor="text1"/>
        </w:rPr>
        <w:t xml:space="preserve"> </w:t>
      </w:r>
      <w:r w:rsidR="004817A1" w:rsidRPr="006924D2">
        <w:rPr>
          <w:rFonts w:ascii="Arial" w:hAnsi="Arial" w:cs="Arial"/>
          <w:b/>
          <w:bCs/>
          <w:color w:val="000000" w:themeColor="text1"/>
        </w:rPr>
        <w:t>(The) “</w:t>
      </w:r>
      <w:r w:rsidRPr="006924D2">
        <w:rPr>
          <w:rFonts w:ascii="Arial" w:hAnsi="Arial" w:cs="Arial"/>
          <w:b/>
          <w:bCs/>
          <w:color w:val="000000" w:themeColor="text1"/>
        </w:rPr>
        <w:t>World University Ranking</w:t>
      </w:r>
      <w:r w:rsidR="004817A1" w:rsidRPr="006924D2">
        <w:rPr>
          <w:rFonts w:ascii="Arial" w:hAnsi="Arial" w:cs="Arial"/>
          <w:b/>
          <w:bCs/>
          <w:color w:val="000000" w:themeColor="text1"/>
        </w:rPr>
        <w:t>s</w:t>
      </w:r>
      <w:r w:rsidR="00832F41" w:rsidRPr="006924D2">
        <w:rPr>
          <w:rFonts w:ascii="Arial" w:hAnsi="Arial" w:cs="Arial"/>
          <w:b/>
          <w:bCs/>
          <w:color w:val="000000" w:themeColor="text1"/>
        </w:rPr>
        <w:t>”</w:t>
      </w:r>
      <w:r w:rsidRPr="006924D2">
        <w:rPr>
          <w:rFonts w:ascii="Arial" w:hAnsi="Arial" w:cs="Arial"/>
          <w:b/>
          <w:bCs/>
          <w:color w:val="000000" w:themeColor="text1"/>
        </w:rPr>
        <w:t xml:space="preserve">, cui hanno preso parte circa 1.800 istituzioni. L’Ateneo di Verona migliora il suo posizionamento generale nella classifica mondiale, passando dalla fascia 401-500, dove era stabile dal 2017, alla fascia 351-400. </w:t>
      </w:r>
    </w:p>
    <w:p w14:paraId="01281C04" w14:textId="2F54E022" w:rsidR="00481241" w:rsidRPr="006924D2" w:rsidRDefault="00481241" w:rsidP="00832F4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924D2">
        <w:rPr>
          <w:rFonts w:ascii="Arial" w:hAnsi="Arial" w:cs="Arial"/>
          <w:b/>
          <w:bCs/>
          <w:color w:val="000000" w:themeColor="text1"/>
        </w:rPr>
        <w:t>Rispetto agli atenei italiani, Verona conferma la posizione 14 su 51 già conquistata nella precedente edizione.</w:t>
      </w:r>
    </w:p>
    <w:p w14:paraId="7AC7710F" w14:textId="66A657E7" w:rsidR="00481241" w:rsidRPr="006924D2" w:rsidRDefault="00481241" w:rsidP="00832F41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</w:rPr>
      </w:pPr>
      <w:r w:rsidRPr="006924D2">
        <w:rPr>
          <w:rFonts w:ascii="Arial" w:hAnsi="Arial" w:cs="Arial"/>
          <w:color w:val="000000" w:themeColor="text1"/>
        </w:rPr>
        <w:t xml:space="preserve">Osservando le performance considerate nelle specifiche aree valutate, Verona migliora nel punteggio e nel posizionamento nelle aree </w:t>
      </w:r>
      <w:r w:rsidRPr="006924D2">
        <w:rPr>
          <w:rFonts w:ascii="Arial" w:hAnsi="Arial" w:cs="Arial"/>
          <w:i/>
          <w:iCs/>
          <w:color w:val="000000" w:themeColor="text1"/>
        </w:rPr>
        <w:t>Didattica, Ricerca e Citazioni</w:t>
      </w:r>
      <w:r w:rsidRPr="006924D2">
        <w:rPr>
          <w:rFonts w:ascii="Arial" w:hAnsi="Arial" w:cs="Arial"/>
          <w:color w:val="000000" w:themeColor="text1"/>
        </w:rPr>
        <w:t xml:space="preserve"> riconfermando per quest’ultima il punto di forza dell’Ateneo. Sostanzialmente confermati anche i punteggi nella </w:t>
      </w:r>
      <w:r w:rsidRPr="006924D2">
        <w:rPr>
          <w:rFonts w:ascii="Arial" w:eastAsia="Times New Roman" w:hAnsi="Arial" w:cs="Arial"/>
          <w:bCs/>
          <w:i/>
          <w:iCs/>
          <w:color w:val="000000" w:themeColor="text1"/>
        </w:rPr>
        <w:t>Dimensione Internazionale</w:t>
      </w:r>
      <w:r w:rsidRPr="006924D2">
        <w:rPr>
          <w:rFonts w:ascii="Arial" w:eastAsia="Times New Roman" w:hAnsi="Arial" w:cs="Arial"/>
          <w:bCs/>
          <w:color w:val="000000" w:themeColor="text1"/>
        </w:rPr>
        <w:t xml:space="preserve"> e nell’area delle </w:t>
      </w:r>
      <w:r w:rsidRPr="006924D2">
        <w:rPr>
          <w:rFonts w:ascii="Arial" w:eastAsia="Times New Roman" w:hAnsi="Arial" w:cs="Arial"/>
          <w:bCs/>
          <w:i/>
          <w:iCs/>
          <w:color w:val="000000" w:themeColor="text1"/>
        </w:rPr>
        <w:t>Entrate dal settore Industria,</w:t>
      </w:r>
      <w:r w:rsidRPr="006924D2">
        <w:rPr>
          <w:rFonts w:ascii="Arial" w:eastAsia="Times New Roman" w:hAnsi="Arial" w:cs="Arial"/>
          <w:bCs/>
          <w:color w:val="000000" w:themeColor="text1"/>
        </w:rPr>
        <w:t xml:space="preserve"> che tuttavia comportano la perdita di qualche posizione nel ranking di area rispetto alla passata edizione.</w:t>
      </w:r>
    </w:p>
    <w:p w14:paraId="504941B6" w14:textId="77777777" w:rsidR="00481241" w:rsidRPr="00D836C5" w:rsidRDefault="00481241" w:rsidP="00481241">
      <w:pPr>
        <w:spacing w:line="276" w:lineRule="auto"/>
        <w:jc w:val="both"/>
        <w:rPr>
          <w:rFonts w:ascii="Calibri" w:eastAsia="Times New Roman" w:hAnsi="Calibri" w:cs="Calibri"/>
          <w:bCs/>
          <w:color w:val="000000"/>
        </w:rPr>
      </w:pPr>
    </w:p>
    <w:p w14:paraId="64EFF146" w14:textId="77777777" w:rsidR="0015528C" w:rsidRPr="006E744B" w:rsidRDefault="0015528C" w:rsidP="00481241">
      <w:pPr>
        <w:spacing w:line="276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144AB9CB" w14:textId="77777777" w:rsidR="00481241" w:rsidRPr="00AB3F9C" w:rsidRDefault="00481241" w:rsidP="0048124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R</w:t>
      </w:r>
      <w:r w:rsidRPr="00AB3F9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isultati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2023 a</w:t>
      </w:r>
      <w:r w:rsidRPr="00AB3F9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raffronto con la precedente edizione</w:t>
      </w:r>
    </w:p>
    <w:tbl>
      <w:tblPr>
        <w:tblW w:w="42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957"/>
        <w:gridCol w:w="1145"/>
        <w:gridCol w:w="1113"/>
        <w:gridCol w:w="1239"/>
        <w:gridCol w:w="1096"/>
      </w:tblGrid>
      <w:tr w:rsidR="00481241" w:rsidRPr="004E4EA3" w14:paraId="08DC954F" w14:textId="77777777" w:rsidTr="003C2C2B">
        <w:trPr>
          <w:trHeight w:val="390"/>
        </w:trPr>
        <w:tc>
          <w:tcPr>
            <w:tcW w:w="2162" w:type="pct"/>
            <w:gridSpan w:val="2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11C65ECA" w14:textId="77777777" w:rsidR="00481241" w:rsidRPr="004E4EA3" w:rsidRDefault="00481241" w:rsidP="003C2C2B">
            <w:pPr>
              <w:jc w:val="right"/>
              <w:rPr>
                <w:rFonts w:ascii="Calibri" w:eastAsia="Times New Roman" w:hAnsi="Calibri" w:cs="Calibri"/>
                <w:b/>
                <w:bCs/>
                <w:color w:val="CC0099"/>
              </w:rPr>
            </w:pPr>
            <w:r w:rsidRPr="004E4EA3">
              <w:rPr>
                <w:rFonts w:ascii="Calibri" w:eastAsia="Times New Roman" w:hAnsi="Calibri" w:cs="Calibri"/>
                <w:b/>
                <w:bCs/>
                <w:color w:val="CC0099"/>
              </w:rPr>
              <w:t>Edizione</w:t>
            </w:r>
          </w:p>
        </w:tc>
        <w:tc>
          <w:tcPr>
            <w:tcW w:w="1383" w:type="pct"/>
            <w:gridSpan w:val="2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22F2E26" w14:textId="77777777" w:rsidR="00481241" w:rsidRPr="004E4EA3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CC0099"/>
              </w:rPr>
            </w:pPr>
            <w:r w:rsidRPr="004E4EA3">
              <w:rPr>
                <w:rFonts w:ascii="Calibri" w:eastAsia="Times New Roman" w:hAnsi="Calibri" w:cs="Calibri"/>
                <w:b/>
                <w:bCs/>
                <w:color w:val="CC0099"/>
              </w:rPr>
              <w:t>2022</w:t>
            </w:r>
          </w:p>
        </w:tc>
        <w:tc>
          <w:tcPr>
            <w:tcW w:w="1455" w:type="pct"/>
            <w:gridSpan w:val="2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vAlign w:val="center"/>
          </w:tcPr>
          <w:p w14:paraId="670A1536" w14:textId="77777777" w:rsidR="00481241" w:rsidRPr="004E4EA3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CC0099"/>
              </w:rPr>
            </w:pPr>
            <w:r w:rsidRPr="004E4EA3">
              <w:rPr>
                <w:rFonts w:ascii="Calibri" w:eastAsia="Times New Roman" w:hAnsi="Calibri" w:cs="Calibri"/>
                <w:b/>
                <w:bCs/>
                <w:color w:val="CC0099"/>
              </w:rPr>
              <w:t>2023</w:t>
            </w:r>
          </w:p>
        </w:tc>
      </w:tr>
      <w:tr w:rsidR="00481241" w:rsidRPr="004E4EA3" w14:paraId="0CD9197E" w14:textId="77777777" w:rsidTr="003C2C2B">
        <w:trPr>
          <w:trHeight w:val="442"/>
        </w:trPr>
        <w:tc>
          <w:tcPr>
            <w:tcW w:w="2162" w:type="pct"/>
            <w:gridSpan w:val="2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158B644" w14:textId="77777777" w:rsidR="00481241" w:rsidRPr="004E4EA3" w:rsidRDefault="00481241" w:rsidP="003C2C2B">
            <w:pPr>
              <w:rPr>
                <w:rFonts w:ascii="Calibri" w:eastAsia="Times New Roman" w:hAnsi="Calibri" w:cs="Calibri"/>
                <w:color w:val="000000"/>
              </w:rPr>
            </w:pPr>
            <w:r w:rsidRPr="004E4EA3">
              <w:rPr>
                <w:rFonts w:ascii="Calibri" w:eastAsia="Times New Roman" w:hAnsi="Calibri" w:cs="Calibri"/>
                <w:color w:val="000000"/>
              </w:rPr>
              <w:t>N. TOTALE ATENEI PARTECIPANTI</w:t>
            </w:r>
          </w:p>
        </w:tc>
        <w:tc>
          <w:tcPr>
            <w:tcW w:w="1383" w:type="pct"/>
            <w:gridSpan w:val="2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</w:tcPr>
          <w:p w14:paraId="13551BE2" w14:textId="77777777" w:rsidR="00481241" w:rsidRPr="004E4EA3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EA3">
              <w:rPr>
                <w:rFonts w:ascii="Calibri" w:eastAsia="Times New Roman" w:hAnsi="Calibri" w:cs="Calibri"/>
                <w:color w:val="000000"/>
              </w:rPr>
              <w:t>1.662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31B6406" w14:textId="77777777" w:rsidR="00481241" w:rsidRPr="004E4EA3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E4EA3">
              <w:rPr>
                <w:rFonts w:ascii="Calibri" w:eastAsia="Times New Roman" w:hAnsi="Calibri" w:cs="Calibri"/>
                <w:color w:val="000000"/>
              </w:rPr>
              <w:t>1799</w:t>
            </w:r>
          </w:p>
        </w:tc>
      </w:tr>
      <w:tr w:rsidR="00481241" w:rsidRPr="00525EA1" w14:paraId="4F66786A" w14:textId="77777777" w:rsidTr="003C2C2B">
        <w:trPr>
          <w:trHeight w:val="392"/>
        </w:trPr>
        <w:tc>
          <w:tcPr>
            <w:tcW w:w="2162" w:type="pct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 w:themeFill="accent1" w:themeFillTint="33"/>
            <w:vAlign w:val="center"/>
          </w:tcPr>
          <w:p w14:paraId="7FB3AC0B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Università di Verona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 w:themeFill="accent1" w:themeFillTint="33"/>
            <w:vAlign w:val="center"/>
          </w:tcPr>
          <w:p w14:paraId="2ADC27D2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5F0">
              <w:rPr>
                <w:rFonts w:ascii="Calibri" w:eastAsia="Times New Roman" w:hAnsi="Calibri" w:cs="Calibri"/>
                <w:b/>
                <w:bCs/>
                <w:color w:val="000000"/>
              </w:rPr>
              <w:t>Punteggio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 w:themeFill="accent1" w:themeFillTint="33"/>
            <w:vAlign w:val="center"/>
          </w:tcPr>
          <w:p w14:paraId="5AF066A6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 w:themeFill="accent1" w:themeFillTint="33"/>
            <w:vAlign w:val="center"/>
          </w:tcPr>
          <w:p w14:paraId="539ED375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5F0">
              <w:rPr>
                <w:rFonts w:ascii="Calibri" w:eastAsia="Times New Roman" w:hAnsi="Calibri" w:cs="Calibri"/>
                <w:b/>
                <w:bCs/>
                <w:color w:val="000000"/>
              </w:rPr>
              <w:t>Punteggio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 w:themeFill="accent1" w:themeFillTint="33"/>
            <w:vAlign w:val="center"/>
          </w:tcPr>
          <w:p w14:paraId="0F231197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</w:p>
        </w:tc>
      </w:tr>
      <w:tr w:rsidR="00481241" w:rsidRPr="004E4EA3" w14:paraId="6C6E672A" w14:textId="77777777" w:rsidTr="003C2C2B">
        <w:trPr>
          <w:trHeight w:val="315"/>
        </w:trPr>
        <w:tc>
          <w:tcPr>
            <w:tcW w:w="2162" w:type="pct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9265AF1" w14:textId="77777777" w:rsidR="00481241" w:rsidRPr="004E4EA3" w:rsidRDefault="00481241" w:rsidP="003C2C2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EA3">
              <w:rPr>
                <w:rFonts w:ascii="Calibri" w:eastAsia="Times New Roman" w:hAnsi="Calibri" w:cs="Calibri"/>
                <w:b/>
                <w:bCs/>
                <w:color w:val="000000"/>
              </w:rPr>
              <w:t>PUNTEGGIO TOTALE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</w:tcPr>
          <w:p w14:paraId="3F7BA0A0" w14:textId="77777777" w:rsidR="00481241" w:rsidRPr="004E4EA3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EA3">
              <w:rPr>
                <w:rFonts w:ascii="Calibri" w:eastAsia="Times New Roman" w:hAnsi="Calibri" w:cs="Calibri"/>
                <w:b/>
                <w:bCs/>
                <w:color w:val="000000"/>
              </w:rPr>
              <w:t>40.9-44.0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04CDE223" w14:textId="77777777" w:rsidR="00481241" w:rsidRPr="004E4EA3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EA3">
              <w:rPr>
                <w:rFonts w:ascii="Calibri" w:eastAsia="Times New Roman" w:hAnsi="Calibri" w:cs="Calibri"/>
                <w:b/>
                <w:bCs/>
                <w:color w:val="000000"/>
              </w:rPr>
              <w:t>401-500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CCFFCC"/>
          </w:tcPr>
          <w:p w14:paraId="6968FB2E" w14:textId="77777777" w:rsidR="00481241" w:rsidRPr="004E4EA3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E4EA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45-46.9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CCFFCC"/>
          </w:tcPr>
          <w:p w14:paraId="7B7902D4" w14:textId="77777777" w:rsidR="00481241" w:rsidRPr="004E4EA3" w:rsidRDefault="00481241" w:rsidP="003C2C2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E4EA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351-400</w:t>
            </w:r>
          </w:p>
        </w:tc>
      </w:tr>
      <w:tr w:rsidR="00481241" w:rsidRPr="00525EA1" w14:paraId="7A713DC9" w14:textId="77777777" w:rsidTr="003C2C2B">
        <w:trPr>
          <w:trHeight w:val="315"/>
        </w:trPr>
        <w:tc>
          <w:tcPr>
            <w:tcW w:w="424" w:type="pct"/>
            <w:vMerge w:val="restart"/>
            <w:tcBorders>
              <w:top w:val="nil"/>
              <w:left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6278A2AD" w14:textId="77777777" w:rsidR="00481241" w:rsidRPr="00D625F0" w:rsidRDefault="00481241" w:rsidP="003C2C2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5F0">
              <w:rPr>
                <w:rFonts w:ascii="Calibri" w:eastAsia="Times New Roman" w:hAnsi="Calibri" w:cs="Calibri"/>
                <w:b/>
                <w:color w:val="000000"/>
              </w:rPr>
              <w:t>Area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4905C0C1" w14:textId="77777777" w:rsidR="00481241" w:rsidRPr="00525EA1" w:rsidRDefault="00481241" w:rsidP="003C2C2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EA1">
              <w:rPr>
                <w:rFonts w:ascii="Calibri" w:eastAsia="Times New Roman" w:hAnsi="Calibri" w:cs="Calibri"/>
                <w:b/>
                <w:bCs/>
                <w:color w:val="000000"/>
              </w:rPr>
              <w:t>Didattica</w:t>
            </w:r>
            <w:r w:rsidRPr="00525E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</w:tcPr>
          <w:p w14:paraId="7CC09A41" w14:textId="77777777" w:rsidR="00481241" w:rsidRPr="004B5C34" w:rsidRDefault="00481241" w:rsidP="003C2C2B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B5C34">
              <w:rPr>
                <w:rFonts w:ascii="Calibri" w:eastAsia="Times New Roman" w:hAnsi="Calibri" w:cs="Calibri"/>
                <w:bCs/>
                <w:color w:val="000000"/>
              </w:rPr>
              <w:t>29.2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</w:tcPr>
          <w:p w14:paraId="03EAB045" w14:textId="77777777" w:rsidR="00481241" w:rsidRPr="004B5C34" w:rsidRDefault="00481241" w:rsidP="003C2C2B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CCFFCC"/>
          </w:tcPr>
          <w:p w14:paraId="5D78F5E5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D625F0">
              <w:rPr>
                <w:rFonts w:ascii="Calibri" w:eastAsia="Times New Roman" w:hAnsi="Calibri" w:cs="Calibri"/>
                <w:color w:val="000000" w:themeColor="text1"/>
              </w:rPr>
              <w:t>31.4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CCFFCC"/>
          </w:tcPr>
          <w:p w14:paraId="047E4031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463</w:t>
            </w:r>
          </w:p>
        </w:tc>
      </w:tr>
      <w:tr w:rsidR="00481241" w:rsidRPr="00525EA1" w14:paraId="27BD32E3" w14:textId="77777777" w:rsidTr="003C2C2B">
        <w:trPr>
          <w:trHeight w:val="315"/>
        </w:trPr>
        <w:tc>
          <w:tcPr>
            <w:tcW w:w="424" w:type="pct"/>
            <w:vMerge/>
            <w:tcBorders>
              <w:left w:val="single" w:sz="8" w:space="0" w:color="B4C6E7"/>
              <w:right w:val="single" w:sz="8" w:space="0" w:color="B4C6E7"/>
            </w:tcBorders>
            <w:vAlign w:val="center"/>
            <w:hideMark/>
          </w:tcPr>
          <w:p w14:paraId="655C4BBE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0D29E74" w14:textId="77777777" w:rsidR="00481241" w:rsidRPr="00525EA1" w:rsidRDefault="00481241" w:rsidP="003C2C2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EA1">
              <w:rPr>
                <w:rFonts w:ascii="Calibri" w:eastAsia="Times New Roman" w:hAnsi="Calibri" w:cs="Calibri"/>
                <w:b/>
                <w:bCs/>
                <w:color w:val="000000"/>
              </w:rPr>
              <w:t>Ricerca</w:t>
            </w:r>
            <w:r w:rsidRPr="00525E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</w:tcPr>
          <w:p w14:paraId="4B15873B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</w:tcPr>
          <w:p w14:paraId="13F1BA07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CCFFCC"/>
          </w:tcPr>
          <w:p w14:paraId="3B7A5EFB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D625F0">
              <w:rPr>
                <w:rFonts w:ascii="Calibri" w:eastAsia="Times New Roman" w:hAnsi="Calibri" w:cs="Calibri"/>
                <w:color w:val="000000" w:themeColor="text1"/>
              </w:rPr>
              <w:t>26.0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CCFFCC"/>
          </w:tcPr>
          <w:p w14:paraId="609AA51D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521</w:t>
            </w:r>
          </w:p>
        </w:tc>
      </w:tr>
      <w:tr w:rsidR="00481241" w:rsidRPr="00525EA1" w14:paraId="3C0B875D" w14:textId="77777777" w:rsidTr="003C2C2B">
        <w:trPr>
          <w:trHeight w:val="315"/>
        </w:trPr>
        <w:tc>
          <w:tcPr>
            <w:tcW w:w="424" w:type="pct"/>
            <w:vMerge/>
            <w:tcBorders>
              <w:left w:val="single" w:sz="8" w:space="0" w:color="B4C6E7"/>
              <w:right w:val="single" w:sz="8" w:space="0" w:color="B4C6E7"/>
            </w:tcBorders>
            <w:vAlign w:val="center"/>
            <w:hideMark/>
          </w:tcPr>
          <w:p w14:paraId="2055F0C7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C02D29E" w14:textId="77777777" w:rsidR="00481241" w:rsidRPr="00525EA1" w:rsidRDefault="00481241" w:rsidP="003C2C2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EA1">
              <w:rPr>
                <w:rFonts w:ascii="Calibri" w:eastAsia="Times New Roman" w:hAnsi="Calibri" w:cs="Calibri"/>
                <w:b/>
                <w:bCs/>
                <w:color w:val="000000"/>
              </w:rPr>
              <w:t>Citazioni</w:t>
            </w:r>
            <w:r w:rsidRPr="00525E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</w:tcPr>
          <w:p w14:paraId="3356C673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</w:tcPr>
          <w:p w14:paraId="2307F575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CCFFCC"/>
          </w:tcPr>
          <w:p w14:paraId="03604E84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D625F0">
              <w:rPr>
                <w:rFonts w:ascii="Calibri" w:eastAsia="Times New Roman" w:hAnsi="Calibri" w:cs="Calibri"/>
                <w:color w:val="000000" w:themeColor="text1"/>
              </w:rPr>
              <w:t>80.0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CCFFCC"/>
          </w:tcPr>
          <w:p w14:paraId="20B0DC98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315</w:t>
            </w:r>
          </w:p>
        </w:tc>
      </w:tr>
      <w:tr w:rsidR="00481241" w:rsidRPr="00525EA1" w14:paraId="7D430A7A" w14:textId="77777777" w:rsidTr="003C2C2B">
        <w:trPr>
          <w:trHeight w:val="315"/>
        </w:trPr>
        <w:tc>
          <w:tcPr>
            <w:tcW w:w="424" w:type="pct"/>
            <w:vMerge/>
            <w:tcBorders>
              <w:left w:val="single" w:sz="8" w:space="0" w:color="B4C6E7"/>
              <w:right w:val="single" w:sz="8" w:space="0" w:color="B4C6E7"/>
            </w:tcBorders>
            <w:vAlign w:val="center"/>
            <w:hideMark/>
          </w:tcPr>
          <w:p w14:paraId="2154D3F4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E53F0F6" w14:textId="77777777" w:rsidR="00481241" w:rsidRPr="00525EA1" w:rsidRDefault="00481241" w:rsidP="003C2C2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EA1">
              <w:rPr>
                <w:rFonts w:ascii="Calibri" w:eastAsia="Times New Roman" w:hAnsi="Calibri" w:cs="Calibri"/>
                <w:b/>
                <w:bCs/>
                <w:color w:val="000000"/>
              </w:rPr>
              <w:t>Entrate dal settore Industria</w:t>
            </w:r>
            <w:r w:rsidRPr="00525E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</w:tcPr>
          <w:p w14:paraId="054FE57D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</w:tcPr>
          <w:p w14:paraId="652390E6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FFE7FF"/>
          </w:tcPr>
          <w:p w14:paraId="207AB301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D625F0">
              <w:rPr>
                <w:rFonts w:ascii="Calibri" w:eastAsia="Times New Roman" w:hAnsi="Calibri" w:cs="Calibri"/>
                <w:color w:val="000000" w:themeColor="text1"/>
              </w:rPr>
              <w:t>45.5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FFE7FF"/>
          </w:tcPr>
          <w:p w14:paraId="1E31F2F9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541</w:t>
            </w:r>
          </w:p>
        </w:tc>
      </w:tr>
      <w:tr w:rsidR="00481241" w:rsidRPr="00525EA1" w14:paraId="051511A0" w14:textId="77777777" w:rsidTr="003C2C2B">
        <w:trPr>
          <w:trHeight w:val="315"/>
        </w:trPr>
        <w:tc>
          <w:tcPr>
            <w:tcW w:w="424" w:type="pct"/>
            <w:vMerge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0FF5EA3A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82768F1" w14:textId="77777777" w:rsidR="00481241" w:rsidRPr="00525EA1" w:rsidRDefault="00481241" w:rsidP="003C2C2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Dimensione</w:t>
            </w:r>
            <w:r w:rsidRPr="00525E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Internazionale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</w:tcPr>
          <w:p w14:paraId="4AF1D664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</w:tcPr>
          <w:p w14:paraId="3ABAA94C" w14:textId="77777777" w:rsidR="00481241" w:rsidRPr="00525EA1" w:rsidRDefault="00481241" w:rsidP="003C2C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</w:tcPr>
          <w:p w14:paraId="25FDA2D3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D625F0">
              <w:rPr>
                <w:rFonts w:ascii="Calibri" w:eastAsia="Times New Roman" w:hAnsi="Calibri" w:cs="Calibri"/>
                <w:color w:val="000000" w:themeColor="text1"/>
              </w:rPr>
              <w:t>42.4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FFE7FF"/>
          </w:tcPr>
          <w:p w14:paraId="0E5C46CE" w14:textId="77777777" w:rsidR="00481241" w:rsidRPr="00D625F0" w:rsidRDefault="00481241" w:rsidP="003C2C2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888</w:t>
            </w:r>
          </w:p>
        </w:tc>
      </w:tr>
    </w:tbl>
    <w:p w14:paraId="7BE3CF97" w14:textId="77777777" w:rsidR="004D56EB" w:rsidRPr="004D56EB" w:rsidRDefault="004D56EB" w:rsidP="00F874B3">
      <w:pPr>
        <w:spacing w:line="360" w:lineRule="auto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D9FDA93" w14:textId="77777777" w:rsidR="004D56EB" w:rsidRPr="004D56EB" w:rsidRDefault="004D56EB" w:rsidP="00F874B3">
      <w:pPr>
        <w:spacing w:line="360" w:lineRule="auto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8912A05" w14:textId="77777777"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6405DBF4" w14:textId="77777777" w:rsid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4FD40D2F" w14:textId="77777777"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150AB358" w14:textId="77777777" w:rsidR="00F874B3" w:rsidRPr="007B1B0E" w:rsidRDefault="008E22FA" w:rsidP="00F874B3">
      <w:pPr>
        <w:jc w:val="both"/>
        <w:rPr>
          <w:rFonts w:ascii="Arial" w:eastAsia="Arial" w:hAnsi="Arial" w:cs="Arial"/>
          <w:sz w:val="20"/>
          <w:szCs w:val="20"/>
        </w:rPr>
      </w:pPr>
      <w:hyperlink r:id="rId6" w:tgtFrame="_blank" w:history="1">
        <w:r w:rsidR="00F874B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874B3">
        <w:rPr>
          <w:rFonts w:ascii="Arial" w:eastAsia="Arial" w:hAnsi="Arial" w:cs="Arial"/>
          <w:sz w:val="20"/>
          <w:szCs w:val="20"/>
        </w:rPr>
        <w:t xml:space="preserve">  </w:t>
      </w:r>
    </w:p>
    <w:p w14:paraId="568F06B1" w14:textId="77777777" w:rsidR="007333E1" w:rsidRP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7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sectPr w:rsidR="007333E1" w:rsidRPr="00F874B3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F1CD" w14:textId="77777777" w:rsidR="008E22FA" w:rsidRDefault="008E22FA">
      <w:r>
        <w:separator/>
      </w:r>
    </w:p>
  </w:endnote>
  <w:endnote w:type="continuationSeparator" w:id="0">
    <w:p w14:paraId="47733622" w14:textId="77777777" w:rsidR="008E22FA" w:rsidRDefault="008E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0C70" w14:textId="77777777" w:rsidR="00317A1C" w:rsidRDefault="008C0A30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6BF6FDC6" w14:textId="77777777" w:rsidR="00317A1C" w:rsidRDefault="008C0A3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D729401" w14:textId="77777777" w:rsidR="00317A1C" w:rsidRDefault="008E22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87C0" w14:textId="77777777" w:rsidR="008E22FA" w:rsidRDefault="008E22FA">
      <w:r>
        <w:separator/>
      </w:r>
    </w:p>
  </w:footnote>
  <w:footnote w:type="continuationSeparator" w:id="0">
    <w:p w14:paraId="3F101772" w14:textId="77777777" w:rsidR="008E22FA" w:rsidRDefault="008E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9D91" w14:textId="77777777" w:rsidR="00317A1C" w:rsidRDefault="008C0A3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CE218" wp14:editId="14FA88D0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txbx>
                      <w:txbxContent>
                        <w:p w14:paraId="65D70841" w14:textId="77777777" w:rsidR="00317A1C" w:rsidRPr="00EF6A5B" w:rsidRDefault="008C0A3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56487FF" w14:textId="77777777" w:rsidR="00317A1C" w:rsidRPr="00EC3C70" w:rsidRDefault="008E22F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F7CE21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65D70841" w14:textId="77777777" w:rsidR="00317A1C" w:rsidRPr="00EF6A5B" w:rsidRDefault="008C0A3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56487FF" w14:textId="77777777" w:rsidR="00317A1C" w:rsidRPr="00EC3C70" w:rsidRDefault="005F25B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A5F6216" wp14:editId="6842CD9E">
          <wp:extent cx="2264735" cy="809625"/>
          <wp:effectExtent l="0" t="0" r="254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B3"/>
    <w:rsid w:val="00014D54"/>
    <w:rsid w:val="00113257"/>
    <w:rsid w:val="0015528C"/>
    <w:rsid w:val="00163157"/>
    <w:rsid w:val="00172108"/>
    <w:rsid w:val="001A70BD"/>
    <w:rsid w:val="002C524E"/>
    <w:rsid w:val="002D1E07"/>
    <w:rsid w:val="003313ED"/>
    <w:rsid w:val="003358FF"/>
    <w:rsid w:val="003471DA"/>
    <w:rsid w:val="00383C15"/>
    <w:rsid w:val="00396E48"/>
    <w:rsid w:val="00481241"/>
    <w:rsid w:val="004817A1"/>
    <w:rsid w:val="004C6B27"/>
    <w:rsid w:val="004D56EB"/>
    <w:rsid w:val="00587CB3"/>
    <w:rsid w:val="005B2184"/>
    <w:rsid w:val="005B67B9"/>
    <w:rsid w:val="005C5913"/>
    <w:rsid w:val="005F25B0"/>
    <w:rsid w:val="00605D9F"/>
    <w:rsid w:val="00640300"/>
    <w:rsid w:val="006924D2"/>
    <w:rsid w:val="006F0B1A"/>
    <w:rsid w:val="007333E1"/>
    <w:rsid w:val="00736E02"/>
    <w:rsid w:val="007677E6"/>
    <w:rsid w:val="0077018C"/>
    <w:rsid w:val="0077689E"/>
    <w:rsid w:val="007D5810"/>
    <w:rsid w:val="00830054"/>
    <w:rsid w:val="00832F41"/>
    <w:rsid w:val="008678E7"/>
    <w:rsid w:val="008C0A30"/>
    <w:rsid w:val="008E22FA"/>
    <w:rsid w:val="009234AC"/>
    <w:rsid w:val="00946445"/>
    <w:rsid w:val="009500E5"/>
    <w:rsid w:val="00974E39"/>
    <w:rsid w:val="00996181"/>
    <w:rsid w:val="00A02CF6"/>
    <w:rsid w:val="00A06440"/>
    <w:rsid w:val="00AB1AAB"/>
    <w:rsid w:val="00AB3522"/>
    <w:rsid w:val="00AC195B"/>
    <w:rsid w:val="00AC3585"/>
    <w:rsid w:val="00BA5CBE"/>
    <w:rsid w:val="00BA74E7"/>
    <w:rsid w:val="00BC1B9D"/>
    <w:rsid w:val="00BE6907"/>
    <w:rsid w:val="00BF2A9C"/>
    <w:rsid w:val="00C91E31"/>
    <w:rsid w:val="00CB161E"/>
    <w:rsid w:val="00D21589"/>
    <w:rsid w:val="00D351F4"/>
    <w:rsid w:val="00D54E21"/>
    <w:rsid w:val="00D66EFE"/>
    <w:rsid w:val="00D926CB"/>
    <w:rsid w:val="00E542BC"/>
    <w:rsid w:val="00E941A0"/>
    <w:rsid w:val="00F04DA3"/>
    <w:rsid w:val="00F054F9"/>
    <w:rsid w:val="00F176BB"/>
    <w:rsid w:val="00F24EE3"/>
    <w:rsid w:val="00F874B3"/>
    <w:rsid w:val="00FA4D48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D056"/>
  <w15:chartTrackingRefBased/>
  <w15:docId w15:val="{E2DBFBFC-4013-1842-960D-E0C9B20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74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B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B3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874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">
    <w:name w:val="Corpo"/>
    <w:rsid w:val="00F87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F874B3"/>
    <w:rPr>
      <w:rFonts w:ascii="Times New Roman" w:eastAsia="Times New Roman" w:hAnsi="Times New Roman" w:cs="Times New Roman"/>
      <w:b/>
      <w:bCs/>
      <w:u w:val="single"/>
    </w:rPr>
  </w:style>
  <w:style w:type="character" w:styleId="Enfasigrassetto">
    <w:name w:val="Strong"/>
    <w:basedOn w:val="Carpredefinitoparagrafo"/>
    <w:uiPriority w:val="22"/>
    <w:qFormat/>
    <w:rsid w:val="00396E48"/>
    <w:rPr>
      <w:b/>
      <w:bCs/>
    </w:rPr>
  </w:style>
  <w:style w:type="character" w:styleId="Enfasicorsivo">
    <w:name w:val="Emphasis"/>
    <w:basedOn w:val="Carpredefinitoparagrafo"/>
    <w:uiPriority w:val="20"/>
    <w:qFormat/>
    <w:rsid w:val="00396E48"/>
    <w:rPr>
      <w:i/>
      <w:iCs/>
    </w:rPr>
  </w:style>
  <w:style w:type="character" w:customStyle="1" w:styleId="contentpasted0">
    <w:name w:val="contentpasted0"/>
    <w:basedOn w:val="Carpredefinitoparagrafo"/>
    <w:rsid w:val="0083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Pettinari</dc:creator>
  <cp:keywords/>
  <dc:description/>
  <cp:lastModifiedBy>Andrea Pettinari</cp:lastModifiedBy>
  <cp:revision>2</cp:revision>
  <dcterms:created xsi:type="dcterms:W3CDTF">2022-10-17T11:15:00Z</dcterms:created>
  <dcterms:modified xsi:type="dcterms:W3CDTF">2022-10-17T11:15:00Z</dcterms:modified>
</cp:coreProperties>
</file>