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3D5F" w14:textId="713FAF10" w:rsidR="008B4C57" w:rsidRPr="00411B6A" w:rsidRDefault="008B4C57" w:rsidP="008B4C57">
      <w:pPr>
        <w:spacing w:line="360" w:lineRule="auto"/>
        <w:jc w:val="right"/>
        <w:rPr>
          <w:rFonts w:ascii="Arial" w:eastAsia="Arial" w:hAnsi="Arial" w:cs="Arial"/>
          <w:sz w:val="20"/>
          <w:szCs w:val="20"/>
        </w:rPr>
      </w:pPr>
      <w:r>
        <w:rPr>
          <w:rFonts w:ascii="Arial" w:eastAsia="Arial" w:hAnsi="Arial" w:cs="Arial"/>
          <w:sz w:val="20"/>
          <w:szCs w:val="20"/>
        </w:rPr>
        <w:t>2</w:t>
      </w:r>
      <w:r w:rsidR="003F7321">
        <w:rPr>
          <w:rFonts w:ascii="Arial" w:eastAsia="Arial" w:hAnsi="Arial" w:cs="Arial"/>
          <w:sz w:val="20"/>
          <w:szCs w:val="20"/>
        </w:rPr>
        <w:t>4</w:t>
      </w:r>
      <w:r>
        <w:rPr>
          <w:rFonts w:ascii="Arial" w:eastAsia="Arial" w:hAnsi="Arial" w:cs="Arial"/>
          <w:sz w:val="20"/>
          <w:szCs w:val="20"/>
        </w:rPr>
        <w:t>a</w:t>
      </w:r>
      <w:r w:rsidRPr="00411B6A">
        <w:rPr>
          <w:rFonts w:ascii="Arial" w:eastAsia="Arial" w:hAnsi="Arial" w:cs="Arial"/>
          <w:sz w:val="20"/>
          <w:szCs w:val="20"/>
        </w:rPr>
        <w:t>. 202</w:t>
      </w:r>
      <w:r>
        <w:rPr>
          <w:rFonts w:ascii="Arial" w:eastAsia="Arial" w:hAnsi="Arial" w:cs="Arial"/>
          <w:sz w:val="20"/>
          <w:szCs w:val="20"/>
        </w:rPr>
        <w:t>3</w:t>
      </w:r>
    </w:p>
    <w:p w14:paraId="50B15C59" w14:textId="5CDE28D2" w:rsidR="008B4C57" w:rsidRPr="00FE657A" w:rsidRDefault="008B4C57" w:rsidP="008B4C57">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3F7321">
        <w:rPr>
          <w:rFonts w:ascii="Arial" w:eastAsia="Arial" w:hAnsi="Arial" w:cs="Arial"/>
          <w:sz w:val="21"/>
          <w:szCs w:val="21"/>
        </w:rPr>
        <w:t>9</w:t>
      </w:r>
      <w:r>
        <w:rPr>
          <w:rFonts w:ascii="Arial" w:eastAsia="Arial" w:hAnsi="Arial" w:cs="Arial"/>
          <w:sz w:val="21"/>
          <w:szCs w:val="21"/>
        </w:rPr>
        <w:t xml:space="preserve"> febbraio </w:t>
      </w:r>
      <w:r w:rsidRPr="00411B6A">
        <w:rPr>
          <w:rFonts w:ascii="Arial" w:eastAsia="Arial" w:hAnsi="Arial" w:cs="Arial"/>
          <w:sz w:val="21"/>
          <w:szCs w:val="21"/>
        </w:rPr>
        <w:t>202</w:t>
      </w:r>
      <w:r>
        <w:rPr>
          <w:rFonts w:ascii="Arial" w:eastAsia="Arial" w:hAnsi="Arial" w:cs="Arial"/>
          <w:sz w:val="21"/>
          <w:szCs w:val="21"/>
        </w:rPr>
        <w:t>3</w:t>
      </w:r>
    </w:p>
    <w:p w14:paraId="3F309F78" w14:textId="5E016E1F" w:rsidR="008B4C57" w:rsidRDefault="008B4C57" w:rsidP="008B4C57">
      <w:pPr>
        <w:spacing w:line="240" w:lineRule="atLeast"/>
        <w:jc w:val="center"/>
        <w:rPr>
          <w:rFonts w:ascii="Arial" w:hAnsi="Arial" w:cs="Arial"/>
          <w:b/>
          <w:bCs/>
        </w:rPr>
      </w:pPr>
      <w:r w:rsidRPr="00CC205B">
        <w:rPr>
          <w:rFonts w:ascii="Arial" w:hAnsi="Arial" w:cs="Arial"/>
          <w:b/>
          <w:bCs/>
        </w:rPr>
        <w:t>Comunicato stampa</w:t>
      </w:r>
    </w:p>
    <w:p w14:paraId="77EA952B" w14:textId="77777777" w:rsidR="003F7321" w:rsidRPr="00CC205B" w:rsidRDefault="003F7321" w:rsidP="008B4C57">
      <w:pPr>
        <w:spacing w:line="240" w:lineRule="atLeast"/>
        <w:jc w:val="center"/>
        <w:rPr>
          <w:rFonts w:ascii="Arial" w:hAnsi="Arial" w:cs="Arial"/>
          <w:b/>
          <w:bCs/>
        </w:rPr>
      </w:pPr>
    </w:p>
    <w:p w14:paraId="56C27956" w14:textId="52C5BA86" w:rsidR="003F7321" w:rsidRDefault="003F7321" w:rsidP="003F7321">
      <w:pPr>
        <w:spacing w:line="192" w:lineRule="auto"/>
        <w:jc w:val="center"/>
        <w:rPr>
          <w:rFonts w:ascii="Arial" w:hAnsi="Arial" w:cs="Arial"/>
          <w:b/>
          <w:bCs/>
          <w:sz w:val="32"/>
          <w:szCs w:val="32"/>
        </w:rPr>
      </w:pPr>
      <w:bookmarkStart w:id="0" w:name="_GoBack"/>
      <w:r w:rsidRPr="003F7321">
        <w:rPr>
          <w:rFonts w:ascii="Arial" w:hAnsi="Arial" w:cs="Arial"/>
          <w:b/>
          <w:bCs/>
          <w:sz w:val="32"/>
          <w:szCs w:val="32"/>
        </w:rPr>
        <w:t>Il trattamento con anticorpi monoclonali può portare a mutazioni di S</w:t>
      </w:r>
      <w:r>
        <w:rPr>
          <w:rFonts w:ascii="Arial" w:hAnsi="Arial" w:cs="Arial"/>
          <w:b/>
          <w:bCs/>
          <w:sz w:val="32"/>
          <w:szCs w:val="32"/>
        </w:rPr>
        <w:t>ars</w:t>
      </w:r>
      <w:r w:rsidRPr="003F7321">
        <w:rPr>
          <w:rFonts w:ascii="Arial" w:hAnsi="Arial" w:cs="Arial"/>
          <w:b/>
          <w:bCs/>
          <w:sz w:val="32"/>
          <w:szCs w:val="32"/>
        </w:rPr>
        <w:t xml:space="preserve">-CoV-2 </w:t>
      </w:r>
    </w:p>
    <w:bookmarkEnd w:id="0"/>
    <w:p w14:paraId="0ED23DF1" w14:textId="77777777" w:rsidR="003F7321" w:rsidRPr="003F7321" w:rsidRDefault="003F7321" w:rsidP="003F7321">
      <w:pPr>
        <w:spacing w:line="192" w:lineRule="auto"/>
        <w:jc w:val="center"/>
        <w:rPr>
          <w:rFonts w:ascii="Arial" w:hAnsi="Arial" w:cs="Arial"/>
          <w:b/>
          <w:bCs/>
          <w:sz w:val="32"/>
          <w:szCs w:val="32"/>
        </w:rPr>
      </w:pPr>
    </w:p>
    <w:p w14:paraId="36F1B7BD" w14:textId="26567634" w:rsidR="003F7321" w:rsidRPr="003F7321" w:rsidRDefault="003F7321" w:rsidP="003F7321">
      <w:pPr>
        <w:spacing w:line="192" w:lineRule="auto"/>
        <w:jc w:val="center"/>
        <w:rPr>
          <w:rFonts w:ascii="Arial" w:hAnsi="Arial" w:cs="Arial"/>
          <w:sz w:val="28"/>
          <w:szCs w:val="28"/>
        </w:rPr>
      </w:pPr>
      <w:r w:rsidRPr="003F7321">
        <w:rPr>
          <w:rFonts w:ascii="Arial" w:hAnsi="Arial" w:cs="Arial"/>
          <w:sz w:val="28"/>
          <w:szCs w:val="28"/>
        </w:rPr>
        <w:t>Sviluppato dai ricercatori del progetto ORCHESTRA, coordinato dall’ateneo di Verona, un test per identificare i pazienti a rischio</w:t>
      </w:r>
    </w:p>
    <w:p w14:paraId="501E17B7" w14:textId="49DBD268" w:rsidR="00EC37C8" w:rsidRDefault="00EC37C8" w:rsidP="008B4C57">
      <w:pPr>
        <w:jc w:val="center"/>
        <w:rPr>
          <w:rFonts w:ascii="Arial" w:hAnsi="Arial" w:cs="Arial"/>
          <w:b/>
          <w:bCs/>
        </w:rPr>
      </w:pPr>
      <w:r>
        <w:rPr>
          <w:rFonts w:ascii="Arial" w:hAnsi="Arial" w:cs="Arial"/>
          <w:b/>
          <w:bCs/>
        </w:rPr>
        <w:t xml:space="preserve"> </w:t>
      </w:r>
    </w:p>
    <w:p w14:paraId="663F214B" w14:textId="1EED1716" w:rsidR="008B4C57" w:rsidRDefault="008B4C57" w:rsidP="00EC37C8">
      <w:pPr>
        <w:pStyle w:val="Titolo1"/>
        <w:shd w:val="clear" w:color="auto" w:fill="FFFFFF"/>
        <w:spacing w:before="30" w:beforeAutospacing="0" w:after="161" w:afterAutospacing="0"/>
        <w:jc w:val="both"/>
        <w:textAlignment w:val="baseline"/>
        <w:rPr>
          <w:rFonts w:ascii="Arial" w:hAnsi="Arial" w:cs="Arial"/>
          <w:color w:val="000000" w:themeColor="text1"/>
          <w:spacing w:val="-15"/>
          <w:sz w:val="28"/>
          <w:szCs w:val="28"/>
        </w:rPr>
      </w:pPr>
    </w:p>
    <w:p w14:paraId="3024E58F" w14:textId="154BE9B1" w:rsidR="003F7321" w:rsidRPr="003F7321" w:rsidRDefault="003F7321" w:rsidP="003F7321">
      <w:pPr>
        <w:spacing w:line="276" w:lineRule="auto"/>
        <w:jc w:val="both"/>
        <w:rPr>
          <w:rFonts w:ascii="Arial" w:hAnsi="Arial" w:cs="Arial"/>
          <w:b/>
          <w:bCs/>
        </w:rPr>
      </w:pPr>
      <w:r w:rsidRPr="003F7321">
        <w:rPr>
          <w:rFonts w:ascii="Arial" w:hAnsi="Arial" w:cs="Arial"/>
          <w:b/>
          <w:bCs/>
          <w:iCs/>
        </w:rPr>
        <w:t xml:space="preserve">Nei pazienti trattati con anticorpi monoclonali si può sviluppare una risposta anti-infiammatoria specifica che facilita il virus Sars-CoV-2 a sviluppare mutazioni evasive della proteina spike. </w:t>
      </w:r>
      <w:r w:rsidRPr="003F7321">
        <w:rPr>
          <w:rFonts w:ascii="Arial" w:hAnsi="Arial" w:cs="Arial"/>
          <w:b/>
          <w:bCs/>
        </w:rPr>
        <w:t xml:space="preserve">Questo significa che il virus può sviluppare resistenza agli anticorpi monoclonali in maniera simile ai batteri che sviluppano resistenze agli antibiotici. </w:t>
      </w:r>
    </w:p>
    <w:p w14:paraId="1C50E85F" w14:textId="77777777" w:rsidR="003F7321" w:rsidRPr="003F7321" w:rsidRDefault="003F7321" w:rsidP="003F7321">
      <w:pPr>
        <w:spacing w:line="276" w:lineRule="auto"/>
        <w:jc w:val="both"/>
        <w:rPr>
          <w:rFonts w:ascii="Arial" w:hAnsi="Arial" w:cs="Arial"/>
        </w:rPr>
      </w:pPr>
    </w:p>
    <w:p w14:paraId="30FC3781" w14:textId="61E5199A" w:rsidR="003F7321" w:rsidRPr="003F7321" w:rsidRDefault="003F7321" w:rsidP="003F7321">
      <w:pPr>
        <w:tabs>
          <w:tab w:val="left" w:pos="5548"/>
        </w:tabs>
        <w:spacing w:line="276" w:lineRule="auto"/>
        <w:jc w:val="both"/>
        <w:rPr>
          <w:rFonts w:ascii="Arial" w:hAnsi="Arial" w:cs="Arial"/>
          <w:iCs/>
        </w:rPr>
      </w:pPr>
      <w:r w:rsidRPr="003F7321">
        <w:rPr>
          <w:rFonts w:ascii="Arial" w:hAnsi="Arial" w:cs="Arial"/>
          <w:iCs/>
        </w:rPr>
        <w:t xml:space="preserve">Questo è emerso dallo studio </w:t>
      </w:r>
      <w:r w:rsidRPr="003F7321">
        <w:rPr>
          <w:rFonts w:ascii="Arial" w:hAnsi="Arial" w:cs="Arial"/>
          <w:b/>
          <w:bCs/>
          <w:iCs/>
        </w:rPr>
        <w:t>"</w:t>
      </w:r>
      <w:hyperlink r:id="rId7" w:history="1">
        <w:r w:rsidRPr="00F301F3">
          <w:rPr>
            <w:rStyle w:val="Collegamentoipertestuale"/>
            <w:rFonts w:ascii="Arial" w:hAnsi="Arial" w:cs="Arial"/>
            <w:b/>
            <w:bCs/>
            <w:iCs/>
          </w:rPr>
          <w:t>La risposta immunitaria del paziente trattato con anticorpi monoclonali può facilitare lo sviluppo di mutazioni genetiche di SARS-CoV-2</w:t>
        </w:r>
      </w:hyperlink>
      <w:r w:rsidRPr="003F7321">
        <w:rPr>
          <w:rFonts w:ascii="Arial" w:hAnsi="Arial" w:cs="Arial"/>
          <w:b/>
          <w:bCs/>
          <w:iCs/>
        </w:rPr>
        <w:t>"</w:t>
      </w:r>
      <w:r>
        <w:rPr>
          <w:rFonts w:ascii="Arial" w:hAnsi="Arial" w:cs="Arial"/>
          <w:b/>
          <w:bCs/>
          <w:iCs/>
        </w:rPr>
        <w:t>,</w:t>
      </w:r>
      <w:r w:rsidRPr="003F7321">
        <w:rPr>
          <w:rFonts w:ascii="Arial" w:hAnsi="Arial" w:cs="Arial"/>
          <w:iCs/>
        </w:rPr>
        <w:t xml:space="preserve"> condotto nell’ambito della collaborazione tra l’università di Verona e quella di Anversa, in Belgio, all’interno del progetto </w:t>
      </w:r>
      <w:r>
        <w:rPr>
          <w:rFonts w:ascii="Arial" w:hAnsi="Arial" w:cs="Arial"/>
          <w:iCs/>
        </w:rPr>
        <w:t>e</w:t>
      </w:r>
      <w:r w:rsidRPr="003F7321">
        <w:rPr>
          <w:rFonts w:ascii="Arial" w:hAnsi="Arial" w:cs="Arial"/>
          <w:iCs/>
        </w:rPr>
        <w:t>uropeo Orchestra (</w:t>
      </w:r>
      <w:proofErr w:type="spellStart"/>
      <w:r w:rsidRPr="003F7321">
        <w:rPr>
          <w:rFonts w:ascii="Arial" w:hAnsi="Arial" w:cs="Arial"/>
          <w:iCs/>
        </w:rPr>
        <w:t>Connecting</w:t>
      </w:r>
      <w:proofErr w:type="spellEnd"/>
      <w:r w:rsidRPr="003F7321">
        <w:rPr>
          <w:rFonts w:ascii="Arial" w:hAnsi="Arial" w:cs="Arial"/>
          <w:iCs/>
        </w:rPr>
        <w:t xml:space="preserve"> </w:t>
      </w:r>
      <w:proofErr w:type="spellStart"/>
      <w:r w:rsidRPr="003F7321">
        <w:rPr>
          <w:rFonts w:ascii="Arial" w:hAnsi="Arial" w:cs="Arial"/>
          <w:iCs/>
        </w:rPr>
        <w:t>european</w:t>
      </w:r>
      <w:proofErr w:type="spellEnd"/>
      <w:r w:rsidRPr="003F7321">
        <w:rPr>
          <w:rFonts w:ascii="Arial" w:hAnsi="Arial" w:cs="Arial"/>
          <w:iCs/>
        </w:rPr>
        <w:t xml:space="preserve"> </w:t>
      </w:r>
      <w:proofErr w:type="spellStart"/>
      <w:r w:rsidRPr="003F7321">
        <w:rPr>
          <w:rFonts w:ascii="Arial" w:hAnsi="Arial" w:cs="Arial"/>
          <w:iCs/>
        </w:rPr>
        <w:t>cohorts</w:t>
      </w:r>
      <w:proofErr w:type="spellEnd"/>
      <w:r w:rsidRPr="003F7321">
        <w:rPr>
          <w:rFonts w:ascii="Arial" w:hAnsi="Arial" w:cs="Arial"/>
          <w:iCs/>
        </w:rPr>
        <w:t xml:space="preserve"> to </w:t>
      </w:r>
      <w:proofErr w:type="spellStart"/>
      <w:r w:rsidRPr="003F7321">
        <w:rPr>
          <w:rFonts w:ascii="Arial" w:hAnsi="Arial" w:cs="Arial"/>
          <w:iCs/>
        </w:rPr>
        <w:t>increase</w:t>
      </w:r>
      <w:proofErr w:type="spellEnd"/>
      <w:r w:rsidRPr="003F7321">
        <w:rPr>
          <w:rFonts w:ascii="Arial" w:hAnsi="Arial" w:cs="Arial"/>
          <w:iCs/>
        </w:rPr>
        <w:t xml:space="preserve"> common and </w:t>
      </w:r>
      <w:proofErr w:type="spellStart"/>
      <w:r w:rsidRPr="003F7321">
        <w:rPr>
          <w:rFonts w:ascii="Arial" w:hAnsi="Arial" w:cs="Arial"/>
          <w:iCs/>
        </w:rPr>
        <w:t>effective</w:t>
      </w:r>
      <w:proofErr w:type="spellEnd"/>
      <w:r w:rsidRPr="003F7321">
        <w:rPr>
          <w:rFonts w:ascii="Arial" w:hAnsi="Arial" w:cs="Arial"/>
          <w:iCs/>
        </w:rPr>
        <w:t xml:space="preserve"> </w:t>
      </w:r>
      <w:proofErr w:type="spellStart"/>
      <w:r w:rsidRPr="003F7321">
        <w:rPr>
          <w:rFonts w:ascii="Arial" w:hAnsi="Arial" w:cs="Arial"/>
          <w:iCs/>
        </w:rPr>
        <w:t>response</w:t>
      </w:r>
      <w:proofErr w:type="spellEnd"/>
      <w:r w:rsidRPr="003F7321">
        <w:rPr>
          <w:rFonts w:ascii="Arial" w:hAnsi="Arial" w:cs="Arial"/>
          <w:iCs/>
        </w:rPr>
        <w:t xml:space="preserve"> to SARS-CoV-2 </w:t>
      </w:r>
      <w:proofErr w:type="spellStart"/>
      <w:r w:rsidRPr="003F7321">
        <w:rPr>
          <w:rFonts w:ascii="Arial" w:hAnsi="Arial" w:cs="Arial"/>
          <w:iCs/>
        </w:rPr>
        <w:t>pandemic</w:t>
      </w:r>
      <w:proofErr w:type="spellEnd"/>
      <w:r w:rsidRPr="003F7321">
        <w:rPr>
          <w:rFonts w:ascii="Arial" w:hAnsi="Arial" w:cs="Arial"/>
          <w:iCs/>
        </w:rPr>
        <w:t>), coordinato dall’ateneo scaligero e finanziato con fondi europei del programma Horizon 2020. La ricerca è stata pubblicata</w:t>
      </w:r>
      <w:r w:rsidR="00CB2051">
        <w:rPr>
          <w:rFonts w:ascii="Arial" w:hAnsi="Arial" w:cs="Arial"/>
          <w:iCs/>
        </w:rPr>
        <w:t xml:space="preserve"> in </w:t>
      </w:r>
      <w:proofErr w:type="spellStart"/>
      <w:r w:rsidR="00CB2051">
        <w:rPr>
          <w:rFonts w:ascii="Arial" w:hAnsi="Arial" w:cs="Arial"/>
          <w:iCs/>
        </w:rPr>
        <w:t>pre</w:t>
      </w:r>
      <w:proofErr w:type="spellEnd"/>
      <w:r w:rsidR="00CB2051">
        <w:rPr>
          <w:rFonts w:ascii="Arial" w:hAnsi="Arial" w:cs="Arial"/>
          <w:iCs/>
        </w:rPr>
        <w:t xml:space="preserve"> </w:t>
      </w:r>
      <w:proofErr w:type="spellStart"/>
      <w:r w:rsidR="00CB2051">
        <w:rPr>
          <w:rFonts w:ascii="Arial" w:hAnsi="Arial" w:cs="Arial"/>
          <w:iCs/>
        </w:rPr>
        <w:t>print</w:t>
      </w:r>
      <w:proofErr w:type="spellEnd"/>
      <w:r w:rsidRPr="003F7321">
        <w:rPr>
          <w:rFonts w:ascii="Arial" w:hAnsi="Arial" w:cs="Arial"/>
          <w:iCs/>
        </w:rPr>
        <w:t xml:space="preserve"> sulla rivista “</w:t>
      </w:r>
      <w:r w:rsidRPr="003F7321">
        <w:rPr>
          <w:rFonts w:ascii="Arial" w:hAnsi="Arial" w:cs="Arial"/>
        </w:rPr>
        <w:t xml:space="preserve">The Journal of </w:t>
      </w:r>
      <w:proofErr w:type="spellStart"/>
      <w:r w:rsidRPr="003F7321">
        <w:rPr>
          <w:rFonts w:ascii="Arial" w:hAnsi="Arial" w:cs="Arial"/>
        </w:rPr>
        <w:t>Clinical</w:t>
      </w:r>
      <w:proofErr w:type="spellEnd"/>
      <w:r w:rsidRPr="003F7321">
        <w:rPr>
          <w:rFonts w:ascii="Arial" w:hAnsi="Arial" w:cs="Arial"/>
        </w:rPr>
        <w:t xml:space="preserve"> </w:t>
      </w:r>
      <w:proofErr w:type="spellStart"/>
      <w:r w:rsidRPr="003F7321">
        <w:rPr>
          <w:rFonts w:ascii="Arial" w:hAnsi="Arial" w:cs="Arial"/>
        </w:rPr>
        <w:t>Investigation</w:t>
      </w:r>
      <w:proofErr w:type="spellEnd"/>
      <w:r w:rsidRPr="003F7321">
        <w:rPr>
          <w:rFonts w:ascii="Arial" w:hAnsi="Arial" w:cs="Arial"/>
          <w:iCs/>
        </w:rPr>
        <w:t>”. I</w:t>
      </w:r>
      <w:r>
        <w:rPr>
          <w:rFonts w:ascii="Arial" w:hAnsi="Arial" w:cs="Arial"/>
          <w:iCs/>
        </w:rPr>
        <w:t>noltre, ed è il</w:t>
      </w:r>
      <w:r w:rsidRPr="003F7321">
        <w:rPr>
          <w:rFonts w:ascii="Arial" w:hAnsi="Arial" w:cs="Arial"/>
          <w:iCs/>
        </w:rPr>
        <w:t xml:space="preserve"> risultato più importante dello studio</w:t>
      </w:r>
      <w:r>
        <w:rPr>
          <w:rFonts w:ascii="Arial" w:hAnsi="Arial" w:cs="Arial"/>
          <w:iCs/>
        </w:rPr>
        <w:t xml:space="preserve">, </w:t>
      </w:r>
      <w:r w:rsidRPr="003F7321">
        <w:rPr>
          <w:rFonts w:ascii="Arial" w:hAnsi="Arial" w:cs="Arial"/>
          <w:iCs/>
        </w:rPr>
        <w:t xml:space="preserve">gli autori hanno sviluppato </w:t>
      </w:r>
      <w:r w:rsidRPr="003F7321">
        <w:rPr>
          <w:rFonts w:ascii="Arial" w:hAnsi="Arial" w:cs="Arial"/>
          <w:b/>
          <w:bCs/>
          <w:iCs/>
        </w:rPr>
        <w:t>un algoritmo che identifica precocemente i pazienti nei quali il virus può sviluppare mutazioni</w:t>
      </w:r>
      <w:r w:rsidRPr="003F7321">
        <w:rPr>
          <w:rFonts w:ascii="Arial" w:hAnsi="Arial" w:cs="Arial"/>
          <w:iCs/>
        </w:rPr>
        <w:t xml:space="preserve">. </w:t>
      </w:r>
    </w:p>
    <w:p w14:paraId="58701E2A" w14:textId="77777777" w:rsidR="003F7321" w:rsidRPr="003F7321" w:rsidRDefault="003F7321" w:rsidP="003F7321">
      <w:pPr>
        <w:tabs>
          <w:tab w:val="left" w:pos="5548"/>
        </w:tabs>
        <w:spacing w:line="276" w:lineRule="auto"/>
        <w:jc w:val="both"/>
        <w:rPr>
          <w:rFonts w:ascii="Arial" w:hAnsi="Arial" w:cs="Arial"/>
        </w:rPr>
      </w:pPr>
    </w:p>
    <w:p w14:paraId="56EA3025" w14:textId="71961B8A" w:rsidR="003F7321" w:rsidRPr="003F7321" w:rsidRDefault="003F7321" w:rsidP="003F7321">
      <w:pPr>
        <w:spacing w:line="276" w:lineRule="auto"/>
        <w:jc w:val="both"/>
        <w:rPr>
          <w:rFonts w:ascii="Arial" w:hAnsi="Arial" w:cs="Arial"/>
        </w:rPr>
      </w:pPr>
      <w:r w:rsidRPr="003F7321">
        <w:rPr>
          <w:rFonts w:ascii="Arial" w:hAnsi="Arial" w:cs="Arial"/>
          <w:b/>
          <w:bCs/>
        </w:rPr>
        <w:t>Gli anticorpi monoclonali</w:t>
      </w:r>
      <w:r w:rsidRPr="003F7321">
        <w:rPr>
          <w:rFonts w:ascii="Arial" w:hAnsi="Arial" w:cs="Arial"/>
        </w:rPr>
        <w:t xml:space="preserve"> riducono in maniera significativa il rischio di sviluppare forme gravi di Covid-19 e vengono utilizzati nei pazienti ad alto rischio non vaccinati o immunocompromessi, affetti da neoplasie o sottoposti a trapianto. Gli anticorpi monoclonali forniscono, in questi pazienti, una risposta immunitaria rapida ad una specifica variante di virus che il singolo paziente non è in grado di sviluppare da solo. I ricercatori di </w:t>
      </w:r>
      <w:r w:rsidRPr="003F7321">
        <w:rPr>
          <w:rFonts w:ascii="Arial" w:hAnsi="Arial" w:cs="Arial"/>
          <w:iCs/>
        </w:rPr>
        <w:t>Orchestra</w:t>
      </w:r>
      <w:r w:rsidRPr="003F7321">
        <w:rPr>
          <w:rFonts w:ascii="Arial" w:hAnsi="Arial" w:cs="Arial"/>
        </w:rPr>
        <w:t xml:space="preserve"> hanno ora scoperto che il trattamento potrebbe </w:t>
      </w:r>
      <w:r w:rsidRPr="003F7321">
        <w:rPr>
          <w:rFonts w:ascii="Arial" w:hAnsi="Arial" w:cs="Arial"/>
          <w:b/>
          <w:bCs/>
        </w:rPr>
        <w:t>essere in grado di favorire mutazioni del virus Sars-CoV-2</w:t>
      </w:r>
      <w:r w:rsidRPr="003F7321">
        <w:rPr>
          <w:rFonts w:ascii="Arial" w:hAnsi="Arial" w:cs="Arial"/>
        </w:rPr>
        <w:t xml:space="preserve"> come risposta alla sostanziale pressione immunitaria creata dal trattamento con monoclonali, congiunta alla risposta immunitaria del paziente. </w:t>
      </w:r>
    </w:p>
    <w:p w14:paraId="26AB607E" w14:textId="77777777" w:rsidR="003F7321" w:rsidRPr="003F7321" w:rsidRDefault="003F7321" w:rsidP="003F7321">
      <w:pPr>
        <w:spacing w:line="276" w:lineRule="auto"/>
        <w:jc w:val="both"/>
        <w:rPr>
          <w:rFonts w:ascii="Arial" w:hAnsi="Arial" w:cs="Arial"/>
        </w:rPr>
      </w:pPr>
    </w:p>
    <w:p w14:paraId="7145E4F0" w14:textId="1D28BD72" w:rsidR="003F7321" w:rsidRPr="003F7321" w:rsidRDefault="003F7321" w:rsidP="003F7321">
      <w:pPr>
        <w:spacing w:line="276" w:lineRule="auto"/>
        <w:jc w:val="both"/>
        <w:rPr>
          <w:rFonts w:ascii="Arial" w:hAnsi="Arial" w:cs="Arial"/>
        </w:rPr>
      </w:pPr>
      <w:r w:rsidRPr="003F7321">
        <w:rPr>
          <w:rFonts w:ascii="Arial" w:hAnsi="Arial" w:cs="Arial"/>
        </w:rPr>
        <w:t xml:space="preserve">Nello studio clinico condotto all’università di Verona e guidato dalla professoressa </w:t>
      </w:r>
      <w:r w:rsidRPr="003F7321">
        <w:rPr>
          <w:rFonts w:ascii="Arial" w:hAnsi="Arial" w:cs="Arial"/>
          <w:b/>
          <w:bCs/>
        </w:rPr>
        <w:t>Evelina Tacconelli</w:t>
      </w:r>
      <w:r w:rsidRPr="003F7321">
        <w:rPr>
          <w:rFonts w:ascii="Arial" w:hAnsi="Arial" w:cs="Arial"/>
        </w:rPr>
        <w:t xml:space="preserve">, direttrice della sezione di Malattie Infettive e coordinatrice del progetto </w:t>
      </w:r>
      <w:r w:rsidRPr="003F7321">
        <w:rPr>
          <w:rFonts w:ascii="Arial" w:hAnsi="Arial" w:cs="Arial"/>
          <w:iCs/>
        </w:rPr>
        <w:t>Orchestra</w:t>
      </w:r>
      <w:r w:rsidRPr="003F7321">
        <w:rPr>
          <w:rFonts w:ascii="Arial" w:hAnsi="Arial" w:cs="Arial"/>
        </w:rPr>
        <w:t xml:space="preserve">, sono stati studiati pazienti ad alto rischio di sviluppo di Covid-19 severo che hanno ricevuto una terapia con anticorpi monoclonali. L’analisi delle varianti virali, eseguita nel laboratorio di Microbiologia medica dell’università di Anversa della professoressa </w:t>
      </w:r>
      <w:proofErr w:type="spellStart"/>
      <w:r w:rsidRPr="003F7321">
        <w:rPr>
          <w:rFonts w:ascii="Arial" w:hAnsi="Arial" w:cs="Arial"/>
          <w:b/>
          <w:bCs/>
        </w:rPr>
        <w:t>Surbhi</w:t>
      </w:r>
      <w:proofErr w:type="spellEnd"/>
      <w:r w:rsidRPr="003F7321">
        <w:rPr>
          <w:rFonts w:ascii="Arial" w:hAnsi="Arial" w:cs="Arial"/>
          <w:b/>
          <w:bCs/>
        </w:rPr>
        <w:t xml:space="preserve"> </w:t>
      </w:r>
      <w:proofErr w:type="spellStart"/>
      <w:r w:rsidRPr="003F7321">
        <w:rPr>
          <w:rFonts w:ascii="Arial" w:hAnsi="Arial" w:cs="Arial"/>
          <w:b/>
          <w:bCs/>
        </w:rPr>
        <w:t>Malhotra</w:t>
      </w:r>
      <w:proofErr w:type="spellEnd"/>
      <w:r w:rsidRPr="003F7321">
        <w:rPr>
          <w:rFonts w:ascii="Arial" w:hAnsi="Arial" w:cs="Arial"/>
        </w:rPr>
        <w:t xml:space="preserve">, mostra come </w:t>
      </w:r>
      <w:r w:rsidRPr="003F7321">
        <w:rPr>
          <w:rFonts w:ascii="Arial" w:hAnsi="Arial" w:cs="Arial"/>
          <w:b/>
          <w:bCs/>
        </w:rPr>
        <w:t xml:space="preserve">nell’8% circa dei pazienti trattati con monoclonali il virus </w:t>
      </w:r>
      <w:r w:rsidRPr="003F7321">
        <w:rPr>
          <w:rFonts w:ascii="Arial" w:hAnsi="Arial" w:cs="Arial"/>
          <w:b/>
          <w:bCs/>
        </w:rPr>
        <w:lastRenderedPageBreak/>
        <w:t>sviluppa mutazioni evasive della proteina spike con notevole velocità</w:t>
      </w:r>
      <w:r w:rsidRPr="003F7321">
        <w:rPr>
          <w:rFonts w:ascii="Arial" w:hAnsi="Arial" w:cs="Arial"/>
        </w:rPr>
        <w:t xml:space="preserve">. Mentre la maggior parte dei pazienti eliminano il virus nel tempo, i pazienti immunocompromessi hanno una carica virale significativamente più alta per periodi più lunghi e una probabilità </w:t>
      </w:r>
      <w:r w:rsidRPr="003F7321">
        <w:rPr>
          <w:rFonts w:ascii="Arial" w:hAnsi="Arial" w:cs="Arial"/>
          <w:b/>
          <w:bCs/>
        </w:rPr>
        <w:t>3 volte più alta</w:t>
      </w:r>
      <w:r w:rsidRPr="003F7321">
        <w:rPr>
          <w:rFonts w:ascii="Arial" w:hAnsi="Arial" w:cs="Arial"/>
        </w:rPr>
        <w:t xml:space="preserve"> che il virus sviluppi mutazioni evasive della proteina spike.</w:t>
      </w:r>
    </w:p>
    <w:p w14:paraId="216CC1CD" w14:textId="4E00FB67" w:rsidR="003F7321" w:rsidRDefault="003F7321" w:rsidP="003F7321">
      <w:pPr>
        <w:spacing w:line="276" w:lineRule="auto"/>
        <w:jc w:val="both"/>
        <w:rPr>
          <w:rFonts w:ascii="Arial" w:hAnsi="Arial" w:cs="Arial"/>
        </w:rPr>
      </w:pPr>
      <w:r w:rsidRPr="003F7321">
        <w:rPr>
          <w:rFonts w:ascii="Arial" w:hAnsi="Arial" w:cs="Arial"/>
          <w:b/>
          <w:bCs/>
        </w:rPr>
        <w:t>Gli autori dello studio hanno quindi sviluppato un algoritmo in grado di predire con il 96% di precisione in quali pazienti è più alto il rischio di mutazioni evasive alla terapia con anticorpi monoclonali</w:t>
      </w:r>
      <w:r w:rsidRPr="003F7321">
        <w:rPr>
          <w:rFonts w:ascii="Arial" w:hAnsi="Arial" w:cs="Arial"/>
        </w:rPr>
        <w:t xml:space="preserve"> usando una combinazione di esami immunologici, misurati nel sangue del paziente prima dell’inizio della terapia con anticorpi monoclonali.</w:t>
      </w:r>
    </w:p>
    <w:p w14:paraId="16B97A22" w14:textId="77777777" w:rsidR="003F7321" w:rsidRPr="003F7321" w:rsidRDefault="003F7321" w:rsidP="003F7321">
      <w:pPr>
        <w:spacing w:line="276" w:lineRule="auto"/>
        <w:jc w:val="both"/>
        <w:rPr>
          <w:rFonts w:ascii="Arial" w:hAnsi="Arial" w:cs="Arial"/>
        </w:rPr>
      </w:pPr>
    </w:p>
    <w:p w14:paraId="17BDA47E" w14:textId="768BF88C" w:rsidR="003F7321" w:rsidRDefault="003F7321" w:rsidP="003F7321">
      <w:pPr>
        <w:spacing w:line="276" w:lineRule="auto"/>
        <w:jc w:val="both"/>
        <w:rPr>
          <w:rFonts w:ascii="Arial" w:hAnsi="Arial" w:cs="Arial"/>
        </w:rPr>
      </w:pPr>
      <w:r w:rsidRPr="003F7321">
        <w:rPr>
          <w:rFonts w:ascii="Arial" w:hAnsi="Arial" w:cs="Arial"/>
        </w:rPr>
        <w:t>“Lo studio fornisce dati innovativi utili nella selezione di pazienti ad alto rischio per trattamenti precoci</w:t>
      </w:r>
      <w:r>
        <w:rPr>
          <w:rFonts w:ascii="Arial" w:hAnsi="Arial" w:cs="Arial"/>
        </w:rPr>
        <w:t xml:space="preserve">”, spiega la professoressa </w:t>
      </w:r>
      <w:r w:rsidRPr="003F7321">
        <w:rPr>
          <w:rFonts w:ascii="Arial" w:hAnsi="Arial" w:cs="Arial"/>
          <w:b/>
          <w:bCs/>
        </w:rPr>
        <w:t>Tacconelli</w:t>
      </w:r>
      <w:r>
        <w:rPr>
          <w:rFonts w:ascii="Arial" w:hAnsi="Arial" w:cs="Arial"/>
        </w:rPr>
        <w:t>,</w:t>
      </w:r>
      <w:r w:rsidRPr="003F7321">
        <w:rPr>
          <w:rFonts w:ascii="Arial" w:hAnsi="Arial" w:cs="Arial"/>
        </w:rPr>
        <w:t xml:space="preserve"> </w:t>
      </w:r>
      <w:r>
        <w:rPr>
          <w:rFonts w:ascii="Arial" w:hAnsi="Arial" w:cs="Arial"/>
        </w:rPr>
        <w:t>“</w:t>
      </w:r>
      <w:r w:rsidRPr="003F7321">
        <w:rPr>
          <w:rFonts w:ascii="Arial" w:hAnsi="Arial" w:cs="Arial"/>
        </w:rPr>
        <w:t>e ci permette di mantenere alta l’efficacia dei monoclonali utilizzandoli solo nei pazienti che ne possono avere un beneficio. Riteniamo che l’utilizzo di monoclonali sulla base delle varianti circolanti e della corretta selezione dei pazienti da trattare riduce non solo la mortalità da C</w:t>
      </w:r>
      <w:r>
        <w:rPr>
          <w:rFonts w:ascii="Arial" w:hAnsi="Arial" w:cs="Arial"/>
        </w:rPr>
        <w:t>ovid</w:t>
      </w:r>
      <w:r w:rsidRPr="003F7321">
        <w:rPr>
          <w:rFonts w:ascii="Arial" w:hAnsi="Arial" w:cs="Arial"/>
        </w:rPr>
        <w:t>-19 ma anche il rischio di Long- C</w:t>
      </w:r>
      <w:r>
        <w:rPr>
          <w:rFonts w:ascii="Arial" w:hAnsi="Arial" w:cs="Arial"/>
        </w:rPr>
        <w:t>ovid</w:t>
      </w:r>
      <w:r w:rsidRPr="003F7321">
        <w:rPr>
          <w:rFonts w:ascii="Arial" w:hAnsi="Arial" w:cs="Arial"/>
        </w:rPr>
        <w:t>”</w:t>
      </w:r>
      <w:r>
        <w:rPr>
          <w:rFonts w:ascii="Arial" w:hAnsi="Arial" w:cs="Arial"/>
        </w:rPr>
        <w:t>.</w:t>
      </w:r>
    </w:p>
    <w:p w14:paraId="72CB0D84" w14:textId="77777777" w:rsidR="003F7321" w:rsidRDefault="003F7321" w:rsidP="003F7321">
      <w:pPr>
        <w:spacing w:line="276" w:lineRule="auto"/>
        <w:jc w:val="both"/>
        <w:rPr>
          <w:rFonts w:ascii="Arial" w:hAnsi="Arial" w:cs="Arial"/>
        </w:rPr>
      </w:pPr>
    </w:p>
    <w:p w14:paraId="17A395B8" w14:textId="1C280005" w:rsidR="003F7321" w:rsidRDefault="003F7321" w:rsidP="003F7321">
      <w:pPr>
        <w:spacing w:line="276" w:lineRule="auto"/>
        <w:jc w:val="both"/>
        <w:rPr>
          <w:rFonts w:ascii="Arial" w:hAnsi="Arial" w:cs="Arial"/>
        </w:rPr>
      </w:pPr>
      <w:r w:rsidRPr="003F7321">
        <w:rPr>
          <w:rFonts w:ascii="Arial" w:hAnsi="Arial" w:cs="Arial"/>
        </w:rPr>
        <w:t xml:space="preserve">“È stato interessante scoprire che nello sviluppo delle mutazioni evasive, non contano solo la capacità neutralizzante dei monoclonali e il sistema immunitario del paziente, ma anche l’intero processo di guarigione”, </w:t>
      </w:r>
      <w:r>
        <w:rPr>
          <w:rFonts w:ascii="Arial" w:hAnsi="Arial" w:cs="Arial"/>
        </w:rPr>
        <w:t>prosegue</w:t>
      </w:r>
      <w:r w:rsidRPr="003F7321">
        <w:rPr>
          <w:rFonts w:ascii="Arial" w:hAnsi="Arial" w:cs="Arial"/>
        </w:rPr>
        <w:t xml:space="preserve"> il professor </w:t>
      </w:r>
      <w:r w:rsidRPr="003F7321">
        <w:rPr>
          <w:rFonts w:ascii="Arial" w:hAnsi="Arial" w:cs="Arial"/>
          <w:b/>
          <w:bCs/>
        </w:rPr>
        <w:t>Samir Kumar-Singh</w:t>
      </w:r>
      <w:r w:rsidRPr="003F7321">
        <w:rPr>
          <w:rFonts w:ascii="Arial" w:hAnsi="Arial" w:cs="Arial"/>
        </w:rPr>
        <w:t xml:space="preserve">, co-autore dello studio e direttore del gruppo di Patologia </w:t>
      </w:r>
      <w:r>
        <w:rPr>
          <w:rFonts w:ascii="Arial" w:hAnsi="Arial" w:cs="Arial"/>
        </w:rPr>
        <w:t>m</w:t>
      </w:r>
      <w:r w:rsidRPr="003F7321">
        <w:rPr>
          <w:rFonts w:ascii="Arial" w:hAnsi="Arial" w:cs="Arial"/>
        </w:rPr>
        <w:t xml:space="preserve">olecolare </w:t>
      </w:r>
      <w:r>
        <w:rPr>
          <w:rFonts w:ascii="Arial" w:hAnsi="Arial" w:cs="Arial"/>
        </w:rPr>
        <w:t>ne</w:t>
      </w:r>
      <w:r w:rsidRPr="003F7321">
        <w:rPr>
          <w:rFonts w:ascii="Arial" w:hAnsi="Arial" w:cs="Arial"/>
        </w:rPr>
        <w:t xml:space="preserve">l </w:t>
      </w:r>
      <w:r>
        <w:rPr>
          <w:rFonts w:ascii="Arial" w:hAnsi="Arial" w:cs="Arial"/>
        </w:rPr>
        <w:t>l</w:t>
      </w:r>
      <w:r w:rsidRPr="003F7321">
        <w:rPr>
          <w:rFonts w:ascii="Arial" w:hAnsi="Arial" w:cs="Arial"/>
        </w:rPr>
        <w:t xml:space="preserve">aboratorio di Biologia </w:t>
      </w:r>
      <w:r>
        <w:rPr>
          <w:rFonts w:ascii="Arial" w:hAnsi="Arial" w:cs="Arial"/>
        </w:rPr>
        <w:t>c</w:t>
      </w:r>
      <w:r w:rsidRPr="003F7321">
        <w:rPr>
          <w:rFonts w:ascii="Arial" w:hAnsi="Arial" w:cs="Arial"/>
        </w:rPr>
        <w:t>ellulare e Istologia dell’</w:t>
      </w:r>
      <w:r>
        <w:rPr>
          <w:rFonts w:ascii="Arial" w:hAnsi="Arial" w:cs="Arial"/>
        </w:rPr>
        <w:t>u</w:t>
      </w:r>
      <w:r w:rsidRPr="003F7321">
        <w:rPr>
          <w:rFonts w:ascii="Arial" w:hAnsi="Arial" w:cs="Arial"/>
        </w:rPr>
        <w:t>niversità di Anversa, che ha supervisionato gli studi della risposta dell’ospite.</w:t>
      </w:r>
    </w:p>
    <w:p w14:paraId="45958CEB" w14:textId="77777777" w:rsidR="003F7321" w:rsidRPr="003F7321" w:rsidRDefault="003F7321" w:rsidP="003F7321">
      <w:pPr>
        <w:spacing w:line="276" w:lineRule="auto"/>
        <w:jc w:val="both"/>
        <w:rPr>
          <w:rFonts w:ascii="Arial" w:hAnsi="Arial" w:cs="Arial"/>
        </w:rPr>
      </w:pPr>
    </w:p>
    <w:p w14:paraId="79B381EA" w14:textId="77777777" w:rsidR="003F7321" w:rsidRPr="003F7321" w:rsidRDefault="003F7321" w:rsidP="003F7321">
      <w:pPr>
        <w:spacing w:line="276" w:lineRule="auto"/>
        <w:jc w:val="both"/>
        <w:rPr>
          <w:rFonts w:ascii="Arial" w:hAnsi="Arial" w:cs="Arial"/>
        </w:rPr>
      </w:pPr>
      <w:r w:rsidRPr="003F7321">
        <w:rPr>
          <w:rFonts w:ascii="Arial" w:hAnsi="Arial" w:cs="Arial"/>
        </w:rPr>
        <w:t>L’algoritmo sviluppato potrà aiutare nel prendere decisioni a livello del singolo paziente per ridurre il rischio di fallimento del trattamento con monoclonali, permettendo ai pazienti di ricevere altre opzioni terapeutiche, come ad esempio antivirali orali. L’applicazione dell’algoritmo potrà inoltre migliorare le strategie di riduzione del rischio, diminuendo la possibile circolazione di mutazioni evasive di S</w:t>
      </w:r>
      <w:r>
        <w:rPr>
          <w:rFonts w:ascii="Arial" w:hAnsi="Arial" w:cs="Arial"/>
        </w:rPr>
        <w:t>ars</w:t>
      </w:r>
      <w:r w:rsidRPr="003F7321">
        <w:rPr>
          <w:rFonts w:ascii="Arial" w:hAnsi="Arial" w:cs="Arial"/>
        </w:rPr>
        <w:t>-CoV-2, specialmente tra contatti stretti ad alto rischio dei pazienti con C</w:t>
      </w:r>
      <w:r>
        <w:rPr>
          <w:rFonts w:ascii="Arial" w:hAnsi="Arial" w:cs="Arial"/>
        </w:rPr>
        <w:t>ovid</w:t>
      </w:r>
      <w:r w:rsidRPr="003F7321">
        <w:rPr>
          <w:rFonts w:ascii="Arial" w:hAnsi="Arial" w:cs="Arial"/>
        </w:rPr>
        <w:t xml:space="preserve"> -19.</w:t>
      </w:r>
    </w:p>
    <w:p w14:paraId="5445DFB2" w14:textId="77777777" w:rsidR="003F7321" w:rsidRPr="003F7321" w:rsidRDefault="003F7321" w:rsidP="003F7321">
      <w:pPr>
        <w:spacing w:line="276" w:lineRule="auto"/>
        <w:jc w:val="both"/>
        <w:rPr>
          <w:rFonts w:ascii="Arial" w:hAnsi="Arial" w:cs="Arial"/>
        </w:rPr>
      </w:pPr>
    </w:p>
    <w:p w14:paraId="5BA37018" w14:textId="77777777" w:rsidR="003F7321" w:rsidRPr="003F7321" w:rsidRDefault="003F7321" w:rsidP="003F7321">
      <w:pPr>
        <w:spacing w:line="276" w:lineRule="auto"/>
        <w:rPr>
          <w:rFonts w:ascii="Arial" w:hAnsi="Arial" w:cs="Arial"/>
        </w:rPr>
      </w:pPr>
    </w:p>
    <w:p w14:paraId="615C3862" w14:textId="29C02669" w:rsidR="003F7321" w:rsidRPr="007B1B78" w:rsidRDefault="003F7321" w:rsidP="003F7321">
      <w:pPr>
        <w:pBdr>
          <w:top w:val="single" w:sz="4" w:space="1" w:color="auto"/>
          <w:left w:val="single" w:sz="4" w:space="4" w:color="auto"/>
          <w:bottom w:val="single" w:sz="4" w:space="1" w:color="auto"/>
          <w:right w:val="single" w:sz="4" w:space="4" w:color="auto"/>
        </w:pBdr>
      </w:pPr>
      <w:r>
        <w:t xml:space="preserve">Il progetto ORCHESTRA (orchestra-cohort.eu), coordinato dalla professoressa Tacconelli e dal suo team dell’università di Verona, è finanziato dal programma Horizon 2020, iniziativa europea di ricerca e innovazione, ed è iniziato a dicembre 2020 con l’obiettivo di comprendere diversi aspetti clinici della pandemia da SARS-CoV-2. Partecipano a questo progetto 37 partner da 15 paesi, che insieme hanno istituito un’infrastruttura di analisi con standard comuni. Tra i principali obiettivi, l’identificazione di </w:t>
      </w:r>
      <w:proofErr w:type="spellStart"/>
      <w:r>
        <w:t>predittori</w:t>
      </w:r>
      <w:proofErr w:type="spellEnd"/>
      <w:r>
        <w:t xml:space="preserve"> clinici e di laboratorio per ridurre ospedalizzazione e gravità di Covid-19 e prevenire il Long-Covid.</w:t>
      </w:r>
      <w:r w:rsidRPr="007B1B78">
        <w:rPr>
          <w:color w:val="333333"/>
          <w:shd w:val="clear" w:color="auto" w:fill="FFFFFF"/>
        </w:rPr>
        <w:t xml:space="preserve"> </w:t>
      </w:r>
    </w:p>
    <w:p w14:paraId="0E1A6D2A" w14:textId="7839491C" w:rsidR="00EC37C8" w:rsidRDefault="00EC37C8" w:rsidP="00EC37C8">
      <w:pPr>
        <w:pStyle w:val="NormaleWeb"/>
        <w:shd w:val="clear" w:color="auto" w:fill="FFFFFF"/>
        <w:spacing w:before="0" w:beforeAutospacing="0" w:after="450" w:afterAutospacing="0"/>
        <w:jc w:val="both"/>
        <w:rPr>
          <w:rFonts w:ascii="Arial" w:hAnsi="Arial" w:cs="Arial"/>
          <w:color w:val="000000" w:themeColor="text1"/>
        </w:rPr>
      </w:pPr>
    </w:p>
    <w:p w14:paraId="48B6AA90" w14:textId="1C62CFFF" w:rsidR="00F301F3" w:rsidRDefault="00F301F3" w:rsidP="00EC37C8">
      <w:pPr>
        <w:pStyle w:val="NormaleWeb"/>
        <w:shd w:val="clear" w:color="auto" w:fill="FFFFFF"/>
        <w:spacing w:before="0" w:beforeAutospacing="0" w:after="450" w:afterAutospacing="0"/>
        <w:jc w:val="both"/>
        <w:rPr>
          <w:rFonts w:ascii="Arial" w:hAnsi="Arial" w:cs="Arial"/>
          <w:color w:val="000000" w:themeColor="text1"/>
        </w:rPr>
      </w:pPr>
      <w:r>
        <w:rPr>
          <w:rFonts w:ascii="Arial" w:hAnsi="Arial" w:cs="Arial"/>
          <w:color w:val="000000" w:themeColor="text1"/>
        </w:rPr>
        <w:t xml:space="preserve">Doi </w:t>
      </w:r>
      <w:hyperlink r:id="rId8" w:tgtFrame="_blank" w:tooltip="Original URL: https://doi.org/10.1172/JCI166032. Click or tap if you trust this link." w:history="1">
        <w:r w:rsidRPr="00F301F3">
          <w:rPr>
            <w:rStyle w:val="Collegamentoipertestuale"/>
            <w:rFonts w:ascii="inherit" w:hAnsi="inherit" w:cs="Calibri"/>
            <w:sz w:val="20"/>
            <w:szCs w:val="20"/>
            <w:bdr w:val="none" w:sz="0" w:space="0" w:color="auto" w:frame="1"/>
          </w:rPr>
          <w:t>https://doi.org/10.1172/JCI166032</w:t>
        </w:r>
      </w:hyperlink>
    </w:p>
    <w:p w14:paraId="35A30BBB" w14:textId="77777777" w:rsidR="00A61146" w:rsidRDefault="00A61146" w:rsidP="00A61146">
      <w:pPr>
        <w:pStyle w:val="NormaleWeb"/>
        <w:shd w:val="clear" w:color="auto" w:fill="FFFFFF"/>
        <w:spacing w:before="0" w:beforeAutospacing="0" w:after="450" w:afterAutospacing="0"/>
        <w:contextualSpacing/>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4B05CFA3" w14:textId="77777777" w:rsidR="00A61146" w:rsidRDefault="00A61146" w:rsidP="00A61146">
      <w:pPr>
        <w:pStyle w:val="NormaleWeb"/>
        <w:shd w:val="clear" w:color="auto" w:fill="FFFFFF"/>
        <w:spacing w:before="0" w:beforeAutospacing="0" w:after="450" w:afterAutospacing="0"/>
        <w:contextualSpacing/>
        <w:jc w:val="both"/>
        <w:rPr>
          <w:rFonts w:ascii="Arial" w:eastAsia="Arial" w:hAnsi="Arial" w:cs="Arial"/>
          <w:b/>
          <w:bCs/>
          <w:sz w:val="20"/>
          <w:szCs w:val="20"/>
        </w:rPr>
      </w:pPr>
      <w:r w:rsidRPr="000C4361">
        <w:rPr>
          <w:rFonts w:ascii="Arial" w:eastAsia="Arial" w:hAnsi="Arial" w:cs="Arial"/>
          <w:b/>
          <w:bCs/>
          <w:sz w:val="20"/>
          <w:szCs w:val="20"/>
        </w:rPr>
        <w:lastRenderedPageBreak/>
        <w:t>Direzione Sistemi Informativi e Tecnologie | Università di Verona</w:t>
      </w:r>
      <w:r w:rsidRPr="007B1B0E">
        <w:rPr>
          <w:rFonts w:ascii="Arial" w:eastAsia="Arial" w:hAnsi="Arial" w:cs="Arial"/>
          <w:b/>
          <w:bCs/>
          <w:sz w:val="20"/>
          <w:szCs w:val="20"/>
        </w:rPr>
        <w:t>  </w:t>
      </w:r>
    </w:p>
    <w:p w14:paraId="38FB7DBA" w14:textId="77777777" w:rsidR="00A61146" w:rsidRDefault="00A61146" w:rsidP="00A61146">
      <w:pPr>
        <w:pStyle w:val="NormaleWeb"/>
        <w:shd w:val="clear" w:color="auto" w:fill="FFFFFF"/>
        <w:spacing w:before="0" w:beforeAutospacing="0" w:after="450" w:afterAutospacing="0"/>
        <w:contextualSpacing/>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2313166C" w14:textId="77777777" w:rsidR="00A61146" w:rsidRDefault="00A61146" w:rsidP="00A61146">
      <w:pPr>
        <w:pStyle w:val="NormaleWeb"/>
        <w:shd w:val="clear" w:color="auto" w:fill="FFFFFF"/>
        <w:spacing w:before="0" w:beforeAutospacing="0" w:after="450" w:afterAutospacing="0"/>
        <w:contextualSpacing/>
        <w:jc w:val="both"/>
        <w:rPr>
          <w:rFonts w:ascii="Arial" w:eastAsia="Arial" w:hAnsi="Arial" w:cs="Arial"/>
          <w:sz w:val="20"/>
          <w:szCs w:val="20"/>
        </w:rPr>
      </w:pPr>
      <w:r>
        <w:rPr>
          <w:rFonts w:ascii="Arial" w:eastAsia="Arial" w:hAnsi="Arial" w:cs="Arial"/>
          <w:sz w:val="20"/>
          <w:szCs w:val="20"/>
        </w:rPr>
        <w:t>366 6188411 - 3351593262 – 3491536099</w:t>
      </w:r>
    </w:p>
    <w:p w14:paraId="2E4FFC83" w14:textId="77777777" w:rsidR="00A61146" w:rsidRDefault="00A660BF" w:rsidP="00A61146">
      <w:pPr>
        <w:pStyle w:val="NormaleWeb"/>
        <w:shd w:val="clear" w:color="auto" w:fill="FFFFFF"/>
        <w:spacing w:before="0" w:beforeAutospacing="0" w:after="450" w:afterAutospacing="0"/>
        <w:contextualSpacing/>
        <w:jc w:val="both"/>
        <w:rPr>
          <w:rFonts w:ascii="Arial" w:eastAsia="Arial" w:hAnsi="Arial" w:cs="Arial"/>
          <w:sz w:val="20"/>
          <w:szCs w:val="20"/>
        </w:rPr>
      </w:pPr>
      <w:hyperlink r:id="rId9" w:history="1">
        <w:r w:rsidR="00A61146" w:rsidRPr="00DE0AEE">
          <w:rPr>
            <w:rStyle w:val="Collegamentoipertestuale"/>
            <w:rFonts w:ascii="Arial" w:eastAsia="Arial" w:hAnsi="Arial" w:cs="Arial"/>
            <w:b/>
            <w:bCs/>
            <w:sz w:val="20"/>
            <w:szCs w:val="20"/>
          </w:rPr>
          <w:t>ufficio.stampa@ateneo.univr.it</w:t>
        </w:r>
      </w:hyperlink>
      <w:r w:rsidR="00A61146" w:rsidRPr="007B1B0E">
        <w:rPr>
          <w:rFonts w:ascii="Arial" w:eastAsia="Arial" w:hAnsi="Arial" w:cs="Arial"/>
          <w:sz w:val="20"/>
          <w:szCs w:val="20"/>
        </w:rPr>
        <w:t>  </w:t>
      </w:r>
    </w:p>
    <w:p w14:paraId="4D96E7CF" w14:textId="77777777" w:rsidR="00A61146" w:rsidRPr="003B5801" w:rsidRDefault="00A61146" w:rsidP="00A61146">
      <w:pPr>
        <w:pStyle w:val="NormaleWeb"/>
        <w:shd w:val="clear" w:color="auto" w:fill="FFFFFF"/>
        <w:spacing w:before="0" w:beforeAutospacing="0" w:after="450" w:afterAutospacing="0"/>
        <w:contextualSpacing/>
        <w:jc w:val="both"/>
        <w:rPr>
          <w:rFonts w:ascii="Arial" w:eastAsia="Arial" w:hAnsi="Arial" w:cs="Arial"/>
          <w:b/>
          <w:bCs/>
          <w:sz w:val="20"/>
          <w:szCs w:val="20"/>
        </w:rPr>
      </w:pPr>
      <w:r w:rsidRPr="007B1B0E">
        <w:rPr>
          <w:rFonts w:ascii="Arial" w:eastAsia="Arial" w:hAnsi="Arial" w:cs="Arial"/>
          <w:sz w:val="20"/>
          <w:szCs w:val="20"/>
        </w:rPr>
        <w:t>Agenzia di stampa </w:t>
      </w:r>
      <w:proofErr w:type="spellStart"/>
      <w:r w:rsidRPr="007B1B0E">
        <w:rPr>
          <w:rFonts w:ascii="Arial" w:eastAsia="Arial" w:hAnsi="Arial" w:cs="Arial"/>
          <w:sz w:val="20"/>
          <w:szCs w:val="20"/>
        </w:rPr>
        <w:fldChar w:fldCharType="begin"/>
      </w:r>
      <w:r w:rsidRPr="007B1B0E">
        <w:rPr>
          <w:rFonts w:ascii="Arial" w:eastAsia="Arial" w:hAnsi="Arial" w:cs="Arial"/>
          <w:sz w:val="20"/>
          <w:szCs w:val="20"/>
        </w:rPr>
        <w:instrText xml:space="preserve"> HYPERLINK "https://www.univr.it/it/univerona-news" \t "_blank" </w:instrText>
      </w:r>
      <w:r w:rsidRPr="007B1B0E">
        <w:rPr>
          <w:rFonts w:ascii="Arial" w:eastAsia="Arial" w:hAnsi="Arial" w:cs="Arial"/>
          <w:sz w:val="20"/>
          <w:szCs w:val="20"/>
        </w:rP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Pr="007B1B0E">
        <w:rPr>
          <w:rFonts w:ascii="Arial" w:eastAsia="Arial" w:hAnsi="Arial" w:cs="Arial"/>
          <w:sz w:val="20"/>
          <w:szCs w:val="20"/>
        </w:rPr>
        <w:fldChar w:fldCharType="end"/>
      </w:r>
      <w:r w:rsidRPr="007B1B0E">
        <w:rPr>
          <w:rFonts w:ascii="Arial" w:eastAsia="Arial" w:hAnsi="Arial" w:cs="Arial"/>
          <w:b/>
          <w:bCs/>
          <w:sz w:val="20"/>
          <w:szCs w:val="20"/>
          <w:u w:val="single"/>
        </w:rPr>
        <w:t> </w:t>
      </w:r>
    </w:p>
    <w:p w14:paraId="69A30401" w14:textId="19F70C64" w:rsidR="00766BAD" w:rsidRPr="003B5801" w:rsidRDefault="00766BAD" w:rsidP="00A61146">
      <w:pPr>
        <w:pStyle w:val="NormaleWeb"/>
        <w:shd w:val="clear" w:color="auto" w:fill="FFFFFF"/>
        <w:spacing w:before="0" w:beforeAutospacing="0" w:after="450" w:afterAutospacing="0"/>
        <w:jc w:val="both"/>
        <w:rPr>
          <w:rFonts w:ascii="Arial" w:eastAsia="Arial" w:hAnsi="Arial" w:cs="Arial"/>
          <w:b/>
          <w:bCs/>
          <w:sz w:val="20"/>
          <w:szCs w:val="20"/>
        </w:rPr>
      </w:pPr>
    </w:p>
    <w:sectPr w:rsidR="00766BAD" w:rsidRPr="003B5801" w:rsidSect="008E2D8E">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004B" w14:textId="77777777" w:rsidR="00A660BF" w:rsidRDefault="00A660BF" w:rsidP="00D06FF2">
      <w:r>
        <w:separator/>
      </w:r>
    </w:p>
  </w:endnote>
  <w:endnote w:type="continuationSeparator" w:id="0">
    <w:p w14:paraId="548908C2" w14:textId="77777777" w:rsidR="00A660BF" w:rsidRDefault="00A660BF" w:rsidP="00D06FF2">
      <w:r>
        <w:continuationSeparator/>
      </w:r>
    </w:p>
  </w:endnote>
  <w:endnote w:type="continuationNotice" w:id="1">
    <w:p w14:paraId="339067F9" w14:textId="77777777" w:rsidR="00A660BF" w:rsidRDefault="00A66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6307" w14:textId="77777777" w:rsidR="00A660BF" w:rsidRDefault="00A660BF" w:rsidP="00D06FF2">
      <w:r>
        <w:separator/>
      </w:r>
    </w:p>
  </w:footnote>
  <w:footnote w:type="continuationSeparator" w:id="0">
    <w:p w14:paraId="486714EF" w14:textId="77777777" w:rsidR="00A660BF" w:rsidRDefault="00A660BF" w:rsidP="00D06FF2">
      <w:r>
        <w:continuationSeparator/>
      </w:r>
    </w:p>
  </w:footnote>
  <w:footnote w:type="continuationNotice" w:id="1">
    <w:p w14:paraId="1546CFF9" w14:textId="77777777" w:rsidR="00A660BF" w:rsidRDefault="00A66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&#13;&#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144C9"/>
    <w:rsid w:val="00075036"/>
    <w:rsid w:val="00094B15"/>
    <w:rsid w:val="000A6328"/>
    <w:rsid w:val="000B74C7"/>
    <w:rsid w:val="000C2734"/>
    <w:rsid w:val="000C4361"/>
    <w:rsid w:val="000D2C05"/>
    <w:rsid w:val="00102277"/>
    <w:rsid w:val="00107007"/>
    <w:rsid w:val="00144B76"/>
    <w:rsid w:val="00151FFF"/>
    <w:rsid w:val="00170F1C"/>
    <w:rsid w:val="001900EB"/>
    <w:rsid w:val="00192D44"/>
    <w:rsid w:val="001C6C9E"/>
    <w:rsid w:val="001D1A81"/>
    <w:rsid w:val="001D719D"/>
    <w:rsid w:val="001F76A9"/>
    <w:rsid w:val="00232992"/>
    <w:rsid w:val="00236CA6"/>
    <w:rsid w:val="00266D6A"/>
    <w:rsid w:val="002747EB"/>
    <w:rsid w:val="002A412D"/>
    <w:rsid w:val="002B4C93"/>
    <w:rsid w:val="002C54E8"/>
    <w:rsid w:val="002E6EC2"/>
    <w:rsid w:val="002F5EB9"/>
    <w:rsid w:val="002F6CD3"/>
    <w:rsid w:val="0031201C"/>
    <w:rsid w:val="0031323A"/>
    <w:rsid w:val="0032567A"/>
    <w:rsid w:val="00334D50"/>
    <w:rsid w:val="00336429"/>
    <w:rsid w:val="00344D00"/>
    <w:rsid w:val="00352ABE"/>
    <w:rsid w:val="00356CA1"/>
    <w:rsid w:val="00370910"/>
    <w:rsid w:val="00377280"/>
    <w:rsid w:val="003B5801"/>
    <w:rsid w:val="003F7321"/>
    <w:rsid w:val="00407C66"/>
    <w:rsid w:val="004124C3"/>
    <w:rsid w:val="00427495"/>
    <w:rsid w:val="0044540F"/>
    <w:rsid w:val="00497FB5"/>
    <w:rsid w:val="004A4C37"/>
    <w:rsid w:val="004B2664"/>
    <w:rsid w:val="004D2960"/>
    <w:rsid w:val="004F095E"/>
    <w:rsid w:val="00527881"/>
    <w:rsid w:val="00552B3B"/>
    <w:rsid w:val="005B72D7"/>
    <w:rsid w:val="00667DD5"/>
    <w:rsid w:val="006852EC"/>
    <w:rsid w:val="006967C9"/>
    <w:rsid w:val="006A608F"/>
    <w:rsid w:val="006A6565"/>
    <w:rsid w:val="006A671E"/>
    <w:rsid w:val="0071669A"/>
    <w:rsid w:val="0073165E"/>
    <w:rsid w:val="00763CB5"/>
    <w:rsid w:val="00766BAD"/>
    <w:rsid w:val="007816B0"/>
    <w:rsid w:val="007946EF"/>
    <w:rsid w:val="007B0BF0"/>
    <w:rsid w:val="007F5D83"/>
    <w:rsid w:val="00805AD1"/>
    <w:rsid w:val="0082325A"/>
    <w:rsid w:val="00837884"/>
    <w:rsid w:val="008523C8"/>
    <w:rsid w:val="00897296"/>
    <w:rsid w:val="008974BD"/>
    <w:rsid w:val="008B4C57"/>
    <w:rsid w:val="008E2D8E"/>
    <w:rsid w:val="008E6E44"/>
    <w:rsid w:val="008F2CC6"/>
    <w:rsid w:val="00935337"/>
    <w:rsid w:val="00954DBA"/>
    <w:rsid w:val="00955E02"/>
    <w:rsid w:val="00963194"/>
    <w:rsid w:val="00981141"/>
    <w:rsid w:val="00986FDE"/>
    <w:rsid w:val="009C22BF"/>
    <w:rsid w:val="009F10C2"/>
    <w:rsid w:val="009F6465"/>
    <w:rsid w:val="00A02254"/>
    <w:rsid w:val="00A052F7"/>
    <w:rsid w:val="00A436AC"/>
    <w:rsid w:val="00A61146"/>
    <w:rsid w:val="00A660BF"/>
    <w:rsid w:val="00A70799"/>
    <w:rsid w:val="00A971F1"/>
    <w:rsid w:val="00AA6638"/>
    <w:rsid w:val="00AD3BDE"/>
    <w:rsid w:val="00AE2E6E"/>
    <w:rsid w:val="00B1002C"/>
    <w:rsid w:val="00B15B69"/>
    <w:rsid w:val="00B411AB"/>
    <w:rsid w:val="00B42772"/>
    <w:rsid w:val="00B429D9"/>
    <w:rsid w:val="00B728B0"/>
    <w:rsid w:val="00B76F1C"/>
    <w:rsid w:val="00BC303A"/>
    <w:rsid w:val="00BD4D6C"/>
    <w:rsid w:val="00C16829"/>
    <w:rsid w:val="00C6628B"/>
    <w:rsid w:val="00C66B3B"/>
    <w:rsid w:val="00CA0993"/>
    <w:rsid w:val="00CA3D09"/>
    <w:rsid w:val="00CA756C"/>
    <w:rsid w:val="00CB2051"/>
    <w:rsid w:val="00CC2284"/>
    <w:rsid w:val="00CC4DB5"/>
    <w:rsid w:val="00CE0F18"/>
    <w:rsid w:val="00D06FF2"/>
    <w:rsid w:val="00D17567"/>
    <w:rsid w:val="00D35006"/>
    <w:rsid w:val="00D74F19"/>
    <w:rsid w:val="00D90832"/>
    <w:rsid w:val="00DA41BF"/>
    <w:rsid w:val="00E5541A"/>
    <w:rsid w:val="00E6497D"/>
    <w:rsid w:val="00E758B9"/>
    <w:rsid w:val="00EA0305"/>
    <w:rsid w:val="00EA1C2B"/>
    <w:rsid w:val="00EA56BF"/>
    <w:rsid w:val="00EB584C"/>
    <w:rsid w:val="00EC37C8"/>
    <w:rsid w:val="00EC3C70"/>
    <w:rsid w:val="00EE6623"/>
    <w:rsid w:val="00EF6A5B"/>
    <w:rsid w:val="00F061FD"/>
    <w:rsid w:val="00F277CB"/>
    <w:rsid w:val="00F301F3"/>
    <w:rsid w:val="00F52245"/>
    <w:rsid w:val="00F83A88"/>
    <w:rsid w:val="00F90910"/>
    <w:rsid w:val="00FA36DC"/>
    <w:rsid w:val="00FC626F"/>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styleId="Enfasicorsivo">
    <w:name w:val="Emphasis"/>
    <w:basedOn w:val="Carpredefinitoparagrafo"/>
    <w:uiPriority w:val="20"/>
    <w:qFormat/>
    <w:rsid w:val="005B72D7"/>
    <w:rPr>
      <w:i/>
      <w:iCs/>
    </w:rPr>
  </w:style>
  <w:style w:type="character" w:styleId="Menzionenonrisolta">
    <w:name w:val="Unresolved Mention"/>
    <w:basedOn w:val="Carpredefinitoparagrafo"/>
    <w:uiPriority w:val="99"/>
    <w:semiHidden/>
    <w:unhideWhenUsed/>
    <w:rsid w:val="003B5801"/>
    <w:rPr>
      <w:color w:val="605E5C"/>
      <w:shd w:val="clear" w:color="auto" w:fill="E1DFDD"/>
    </w:rPr>
  </w:style>
  <w:style w:type="character" w:customStyle="1" w:styleId="contentpasted0">
    <w:name w:val="contentpasted0"/>
    <w:basedOn w:val="Carpredefinitoparagrafo"/>
    <w:rsid w:val="00A61146"/>
  </w:style>
  <w:style w:type="character" w:customStyle="1" w:styleId="contentpasted1">
    <w:name w:val="contentpasted1"/>
    <w:basedOn w:val="Carpredefinitoparagrafo"/>
    <w:rsid w:val="00A61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44205319">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3066">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doi.org%2F10.1172%2FJCI166032&amp;data=05%7C01%7Csamir.kumarsingh%40uantwerpen.be%7C8d464dee1efc4eb5d8f208db060666d3%7C792e08fb2d544a8eaf72202548136ef6%7C0%7C0%7C638110396802464098%7CUnknown%7CTWFpbGZsb3d8eyJWIjoiMC4wLjAwMDAiLCJQIjoiV2luMzIiLCJBTiI6Ik1haWwiLCJXVCI6Mn0%3D%7C3000%7C%7C%7C&amp;sdata=VPqd08qYlI5QHt3MlC3wQJvTULS5Zn11N%2FijGOS%2BcvU%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2/JCI1660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2</cp:revision>
  <dcterms:created xsi:type="dcterms:W3CDTF">2023-02-17T13:29:00Z</dcterms:created>
  <dcterms:modified xsi:type="dcterms:W3CDTF">2023-02-17T13:29:00Z</dcterms:modified>
</cp:coreProperties>
</file>